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86B13" w14:textId="3574219A" w:rsidR="00CB7D2A" w:rsidRPr="00CB7D2A" w:rsidRDefault="00CB7D2A" w:rsidP="00CB7D2A">
      <w:pPr>
        <w:rPr>
          <w:rFonts w:ascii="Times New Roman" w:eastAsia="Calibri" w:hAnsi="Times New Roman" w:cs="Times New Roman"/>
          <w:b/>
          <w:color w:val="201F1E"/>
          <w:highlight w:val="white"/>
        </w:rPr>
      </w:pPr>
      <w:r w:rsidRPr="00CB7D2A">
        <w:rPr>
          <w:rFonts w:ascii="Times New Roman" w:hAnsi="Times New Roman" w:cs="Times New Roman"/>
          <w:b/>
        </w:rPr>
        <w:t>S1 Table. Diagnosis indicators where thresholds were established using public health guidance (Cutoff Type 1)</w:t>
      </w:r>
      <w:r w:rsidR="00CF607F">
        <w:rPr>
          <w:rFonts w:ascii="Times New Roman" w:hAnsi="Times New Roman" w:cs="Times New Roman"/>
          <w:b/>
        </w:rPr>
        <w:t>.</w:t>
      </w:r>
    </w:p>
    <w:tbl>
      <w:tblPr>
        <w:tblW w:w="10383" w:type="dxa"/>
        <w:tblInd w:w="-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"/>
        <w:gridCol w:w="990"/>
        <w:gridCol w:w="1527"/>
        <w:gridCol w:w="1713"/>
        <w:gridCol w:w="5130"/>
      </w:tblGrid>
      <w:tr w:rsidR="00CB7D2A" w:rsidRPr="00CB7D2A" w14:paraId="108CE3BB" w14:textId="77777777" w:rsidTr="001D7D2D">
        <w:trPr>
          <w:trHeight w:val="315"/>
        </w:trPr>
        <w:tc>
          <w:tcPr>
            <w:tcW w:w="1023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50A96B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Sector</w:t>
            </w:r>
          </w:p>
        </w:tc>
        <w:tc>
          <w:tcPr>
            <w:tcW w:w="99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804EE8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Subsector</w:t>
            </w:r>
          </w:p>
        </w:tc>
        <w:tc>
          <w:tcPr>
            <w:tcW w:w="1527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5FD661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Indicator</w:t>
            </w:r>
          </w:p>
        </w:tc>
        <w:tc>
          <w:tcPr>
            <w:tcW w:w="1713" w:type="dxa"/>
            <w:vAlign w:val="center"/>
          </w:tcPr>
          <w:p w14:paraId="54AFEE46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Source</w:t>
            </w:r>
          </w:p>
        </w:tc>
        <w:tc>
          <w:tcPr>
            <w:tcW w:w="5130" w:type="dxa"/>
            <w:vAlign w:val="center"/>
          </w:tcPr>
          <w:p w14:paraId="7C54E59E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Public health guidance or  </w:t>
            </w:r>
          </w:p>
          <w:p w14:paraId="5FF9E32B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recommendations</w:t>
            </w:r>
          </w:p>
        </w:tc>
      </w:tr>
      <w:tr w:rsidR="00CB7D2A" w:rsidRPr="00CB7D2A" w14:paraId="0117FB74" w14:textId="77777777" w:rsidTr="001D7D2D">
        <w:trPr>
          <w:trHeight w:val="315"/>
        </w:trPr>
        <w:tc>
          <w:tcPr>
            <w:tcW w:w="1023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09411F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Food Security, Diets and Nutrition</w:t>
            </w:r>
          </w:p>
          <w:p w14:paraId="661400FA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7651EF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Nutritional status</w:t>
            </w:r>
          </w:p>
          <w:p w14:paraId="5E3212DE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0AAEB5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DD2A59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23. Prevalence of under-5 stunting (HAZ &lt;-2 SD) (%)</w:t>
            </w:r>
          </w:p>
        </w:tc>
        <w:tc>
          <w:tcPr>
            <w:tcW w:w="1713" w:type="dxa"/>
            <w:vAlign w:val="center"/>
          </w:tcPr>
          <w:p w14:paraId="75AE74F1" w14:textId="57EC6894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</w:pPr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UNICEF, WHO, </w:t>
            </w:r>
            <w:r w:rsidR="0004783E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>and</w:t>
            </w:r>
            <w:r w:rsidR="0004783E"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 </w:t>
            </w:r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World Bank </w:t>
            </w:r>
            <w:r w:rsidR="0004783E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>(40)</w:t>
            </w:r>
          </w:p>
        </w:tc>
        <w:tc>
          <w:tcPr>
            <w:tcW w:w="5130" w:type="dxa"/>
            <w:vAlign w:val="center"/>
          </w:tcPr>
          <w:p w14:paraId="40C92EDF" w14:textId="57AE4C8B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Prevalence thresholds for stunting in children under 5 have been proposed by De Onis et al</w:t>
            </w:r>
            <w:r w:rsidR="000322D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fldChar w:fldCharType="begin"/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instrText xml:space="preserve"> ADDIN ZOTERO_ITEM CSL_CITATION {"citationID":"0o0JJk2a","properties":{"formattedCitation":"(1)","plainCitation":"(1)","noteIndex":0},"citationItems":[{"id":2201,"uris":["http://zotero.org/users/1090512/items/EI5G5PM5"],"itemData":{"id":2201,"type":"article-journal","abstract":"Objective: Prevalence ranges to classify levels of wasting and stunting have been used since the 1990s for global monitoring of malnutrition. Recent developments prompted a re-examination of existing ranges and development of new ones for childhood overweight. The present paper reports from the WHO–UNICEF Technical Expert Advisory Group on Nutrition Monitoring. Design: Thresholds were developed in relation to SD of the normative WHO Child Growth Standards. The international deﬁnition of ‘normal’ (2 SD below/above the WHO standards median) deﬁnes the ﬁrst threshold, which includes 2·3 % of the area under the normalized distribution. Multipliers of this ‘very low’ level (rounded to 2·5 %) set the basis to establish subsequent thresholds. Country groupings using the thresholds were produced using the most recent set of national surveys. Setting: One hundred and thirty-four countries. Subjects: Children under 5 years.\nResults: For wasting and overweight, thresholds are: ‘very low’ (&lt;2·5 %), ‘low’ (≈1–2 times 2·5 %), ‘medium’ (≈2–4 times 2·5 %), ‘high’ (≈4–6 times 2·5 %) and ‘very high’ (&gt; ≈6 times 2·5 %). For stunting, thresholds are: ‘very low’ ( &lt;2·5 %), ‘low’ (≈1–4 times 2·5 %), ‘medium’ (≈4–8 times 2·5 %), ‘high’ (≈8–12 times 2·5 %) and ‘very high’ (&gt; ≈12 times 2·5 %).\nConclusions: The proposed thresholds minimize changes and keep coherence across anthropometric indicators. They can be used for descriptive purposes to map countries according to severity levels; by donors and global actors to identify priority countries for action; and by governments to trigger action and target programmes aimed at achieving ‘low’ or ‘very low’ levels. Harmonized terminology will help avoid confusion and promote appropriate interventions.","container-title":"Public Health Nutrition","DOI":"10.1017/S1368980018002434","ISSN":"1368-9800, 1475-2727","issue":"1","language":"en","page":"175-179","source":"Crossref","title":"Prevalence thresholds for wasting, overweight and stunting in children under 5 years","volume":"22","author":[{"family":"Onis","given":"Mercedes","non-dropping-particle":"de"},{"family":"Borghi","given":"Elaine"},{"family":"Arimond","given":"Mary"},{"family":"Webb","given":"Patrick"},{"family":"Croft","given":"Trevor"},{"family":"Saha","given":"Kuntal"},{"family":"De-Regil","given":"Luz Maria"},{"family":"Thuita","given":"Faith"},{"family":"Heidkamp","given":"Rebecca"},{"family":"Krasevec","given":"Julia"},{"family":"Hayashi","given":"Chika"},{"family":"Flores-Ayala","given":"Rafael"}],"issued":{"date-parts":[["2019",1]]}}}],"schema":"https://github.com/citation-style-language/schema/raw/master/csl-citation.json"} </w:instrTex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fldChar w:fldCharType="separate"/>
            </w:r>
            <w:r w:rsidRPr="00CB7D2A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</w:t>
            </w:r>
            <w:r w:rsidR="000322D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50</w:t>
            </w:r>
            <w:r w:rsidRPr="00CB7D2A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)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fldChar w:fldCharType="end"/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. Less than 10% prevalence of stunting was determined to be of low public health significance while greater than 20% was determined to be of high public health significance.</w:t>
            </w:r>
          </w:p>
        </w:tc>
      </w:tr>
      <w:tr w:rsidR="00CB7D2A" w:rsidRPr="00CB7D2A" w14:paraId="2A028AF4" w14:textId="77777777" w:rsidTr="001D7D2D">
        <w:trPr>
          <w:trHeight w:val="315"/>
        </w:trPr>
        <w:tc>
          <w:tcPr>
            <w:tcW w:w="102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164DD6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B4C32A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AFFEFC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24. Prevalence of under- 5 wasting (WHZ &lt; -2 SD) (%)</w:t>
            </w:r>
          </w:p>
        </w:tc>
        <w:tc>
          <w:tcPr>
            <w:tcW w:w="1713" w:type="dxa"/>
            <w:vAlign w:val="center"/>
          </w:tcPr>
          <w:p w14:paraId="19D5C7BD" w14:textId="30A990B5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UNICEF, WHO, </w:t>
            </w:r>
            <w:r w:rsidR="0004783E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>and</w:t>
            </w:r>
            <w:r w:rsidR="0004783E"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 </w:t>
            </w:r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World Bank </w:t>
            </w:r>
            <w:r w:rsidR="0004783E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>(40)</w:t>
            </w:r>
          </w:p>
        </w:tc>
        <w:tc>
          <w:tcPr>
            <w:tcW w:w="5130" w:type="dxa"/>
            <w:vAlign w:val="center"/>
          </w:tcPr>
          <w:p w14:paraId="395C6E5C" w14:textId="6C0CFA9E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Prevalence thresholds for wasting in children under 5 have been proposed by De Onis et al</w:t>
            </w:r>
            <w:r w:rsidR="000322D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fldChar w:fldCharType="begin"/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instrText xml:space="preserve"> ADDIN ZOTERO_ITEM CSL_CITATION {"citationID":"HI1ygH2D","properties":{"formattedCitation":"(1)","plainCitation":"(1)","noteIndex":0},"citationItems":[{"id":2201,"uris":["http://zotero.org/users/1090512/items/EI5G5PM5"],"itemData":{"id":2201,"type":"article-journal","abstract":"Objective: Prevalence ranges to classify levels of wasting and stunting have been used since the 1990s for global monitoring of malnutrition. Recent developments prompted a re-examination of existing ranges and development of new ones for childhood overweight. The present paper reports from the WHO–UNICEF Technical Expert Advisory Group on Nutrition Monitoring. Design: Thresholds were developed in relation to SD of the normative WHO Child Growth Standards. The international deﬁnition of ‘normal’ (2 SD below/above the WHO standards median) deﬁnes the ﬁrst threshold, which includes 2·3 % of the area under the normalized distribution. Multipliers of this ‘very low’ level (rounded to 2·5 %) set the basis to establish subsequent thresholds. Country groupings using the thresholds were produced using the most recent set of national surveys. Setting: One hundred and thirty-four countries. Subjects: Children under 5 years.\nResults: For wasting and overweight, thresholds are: ‘very low’ (&lt;2·5 %), ‘low’ (≈1–2 times 2·5 %), ‘medium’ (≈2–4 times 2·5 %), ‘high’ (≈4–6 times 2·5 %) and ‘very high’ (&gt; ≈6 times 2·5 %). For stunting, thresholds are: ‘very low’ ( &lt;2·5 %), ‘low’ (≈1–4 times 2·5 %), ‘medium’ (≈4–8 times 2·5 %), ‘high’ (≈8–12 times 2·5 %) and ‘very high’ (&gt; ≈12 times 2·5 %).\nConclusions: The proposed thresholds minimize changes and keep coherence across anthropometric indicators. They can be used for descriptive purposes to map countries according to severity levels; by donors and global actors to identify priority countries for action; and by governments to trigger action and target programmes aimed at achieving ‘low’ or ‘very low’ levels. Harmonized terminology will help avoid confusion and promote appropriate interventions.","container-title":"Public Health Nutrition","DOI":"10.1017/S1368980018002434","ISSN":"1368-9800, 1475-2727","issue":"1","language":"en","page":"175-179","source":"Crossref","title":"Prevalence thresholds for wasting, overweight and stunting in children under 5 years","volume":"22","author":[{"family":"Onis","given":"Mercedes","non-dropping-particle":"de"},{"family":"Borghi","given":"Elaine"},{"family":"Arimond","given":"Mary"},{"family":"Webb","given":"Patrick"},{"family":"Croft","given":"Trevor"},{"family":"Saha","given":"Kuntal"},{"family":"De-Regil","given":"Luz Maria"},{"family":"Thuita","given":"Faith"},{"family":"Heidkamp","given":"Rebecca"},{"family":"Krasevec","given":"Julia"},{"family":"Hayashi","given":"Chika"},{"family":"Flores-Ayala","given":"Rafael"}],"issued":{"date-parts":[["2019",1]]}}}],"schema":"https://github.com/citation-style-language/schema/raw/master/csl-citation.json"} </w:instrTex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fldChar w:fldCharType="separate"/>
            </w:r>
            <w:r w:rsidRPr="00CB7D2A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</w:t>
            </w:r>
            <w:r w:rsidR="000322D6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50</w:t>
            </w:r>
            <w:r w:rsidRPr="00CB7D2A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)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fldChar w:fldCharType="end"/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. Less than 5% prevalence of wasting was determined to be of low public health significance while greater than 10% was determined to be of high public health significance.</w:t>
            </w:r>
          </w:p>
        </w:tc>
      </w:tr>
      <w:tr w:rsidR="00CB7D2A" w:rsidRPr="00CB7D2A" w14:paraId="11EE124A" w14:textId="77777777" w:rsidTr="001D7D2D">
        <w:trPr>
          <w:trHeight w:val="315"/>
        </w:trPr>
        <w:tc>
          <w:tcPr>
            <w:tcW w:w="102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E9969B7" w14:textId="77777777" w:rsidR="00CB7D2A" w:rsidRPr="00CB7D2A" w:rsidRDefault="00CB7D2A" w:rsidP="001D7D2D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79585D" w14:textId="77777777" w:rsidR="00CB7D2A" w:rsidRPr="00CB7D2A" w:rsidRDefault="00CB7D2A" w:rsidP="001D7D2D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3FBB2E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25. Prevalence of underweight in women (BMI &lt;18.5 kg/m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CB7D2A">
              <w:rPr>
                <w:rFonts w:ascii="Times New Roman" w:eastAsia="Calibri" w:hAnsi="Times New Roman" w:cs="Times New Roman"/>
                <w:color w:val="666666"/>
                <w:sz w:val="20"/>
                <w:szCs w:val="20"/>
                <w:highlight w:val="white"/>
              </w:rPr>
              <w:t xml:space="preserve"> 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1713" w:type="dxa"/>
            <w:vAlign w:val="center"/>
          </w:tcPr>
          <w:p w14:paraId="17FCB3EC" w14:textId="48F77A21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  <w:t xml:space="preserve">NCD </w:t>
            </w:r>
            <w:proofErr w:type="spellStart"/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  <w:t>Ris</w:t>
            </w:r>
            <w:r w:rsidR="0004783E"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  <w:t>C</w:t>
            </w:r>
            <w:proofErr w:type="spellEnd"/>
            <w:r w:rsidR="0004783E"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  <w:t xml:space="preserve"> (41)</w:t>
            </w:r>
          </w:p>
        </w:tc>
        <w:tc>
          <w:tcPr>
            <w:tcW w:w="5130" w:type="dxa"/>
            <w:vAlign w:val="center"/>
          </w:tcPr>
          <w:p w14:paraId="548F20E7" w14:textId="1D33FC83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Prevalence thresholds for thinness in women of reproductive age have been proposed by the WHO</w:t>
            </w:r>
            <w:r w:rsidR="004B447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. A prevalence of 5-10% of thinness was considered a warning sign, while greater than 10% was determined to be a poor situation.</w:t>
            </w:r>
          </w:p>
        </w:tc>
      </w:tr>
      <w:tr w:rsidR="00CB7D2A" w:rsidRPr="00CB7D2A" w14:paraId="3645EEA8" w14:textId="77777777" w:rsidTr="001D7D2D">
        <w:trPr>
          <w:trHeight w:val="315"/>
        </w:trPr>
        <w:tc>
          <w:tcPr>
            <w:tcW w:w="102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406896" w14:textId="77777777" w:rsidR="00CB7D2A" w:rsidRPr="00CB7D2A" w:rsidRDefault="00CB7D2A" w:rsidP="001D7D2D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F93C2D" w14:textId="77777777" w:rsidR="00CB7D2A" w:rsidRPr="00CB7D2A" w:rsidRDefault="00CB7D2A" w:rsidP="001D7D2D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866396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26. Prevalence of anemia in women 15-49 years (%)</w:t>
            </w:r>
          </w:p>
        </w:tc>
        <w:tc>
          <w:tcPr>
            <w:tcW w:w="1713" w:type="dxa"/>
            <w:vAlign w:val="center"/>
          </w:tcPr>
          <w:p w14:paraId="34A75825" w14:textId="5B2EB8C2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  <w:t>WHO Global Health Observatory</w:t>
            </w:r>
            <w:r w:rsidR="0004783E"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  <w:t xml:space="preserve"> (42)</w:t>
            </w:r>
          </w:p>
        </w:tc>
        <w:tc>
          <w:tcPr>
            <w:tcW w:w="5130" w:type="dxa"/>
            <w:vAlign w:val="center"/>
          </w:tcPr>
          <w:p w14:paraId="12ED5797" w14:textId="19B5A7E5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Prevalence thresholds for anemia in women of reproductive age have been proposed by the WHO (2008)</w:t>
            </w:r>
            <w:r w:rsidR="004B4471" w:rsidRPr="00EE31A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. Less than 20% prevalence of anemia was determined to be of mild public health concern while greater than 40% was determined to be a high public health concern.</w:t>
            </w:r>
          </w:p>
        </w:tc>
      </w:tr>
      <w:tr w:rsidR="00CB7D2A" w:rsidRPr="00CB7D2A" w14:paraId="78D1200B" w14:textId="77777777" w:rsidTr="001D7D2D">
        <w:trPr>
          <w:trHeight w:val="315"/>
        </w:trPr>
        <w:tc>
          <w:tcPr>
            <w:tcW w:w="102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E182B7" w14:textId="77777777" w:rsidR="00CB7D2A" w:rsidRPr="00CB7D2A" w:rsidRDefault="00CB7D2A" w:rsidP="001D7D2D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607E98" w14:textId="77777777" w:rsidR="00CB7D2A" w:rsidRPr="00CB7D2A" w:rsidRDefault="00CB7D2A" w:rsidP="001D7D2D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E57E70" w14:textId="77777777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27. Prevalence of under-5 overweight and obesity (WHZ &gt;2 SD) (%)</w:t>
            </w:r>
          </w:p>
        </w:tc>
        <w:tc>
          <w:tcPr>
            <w:tcW w:w="1713" w:type="dxa"/>
            <w:vAlign w:val="center"/>
          </w:tcPr>
          <w:p w14:paraId="643053D8" w14:textId="5E8F58D2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color w:val="201F1E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UNICEF, WHO, </w:t>
            </w:r>
            <w:r w:rsidR="0004783E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>and</w:t>
            </w:r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 World Bank</w:t>
            </w:r>
            <w:r w:rsidR="0004783E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 (40)</w:t>
            </w:r>
            <w:r w:rsidRPr="00CB7D2A">
              <w:rPr>
                <w:rFonts w:ascii="Times New Roman" w:eastAsia="Calibri" w:hAnsi="Times New Roman" w:cs="Times New Roman"/>
                <w:color w:val="201F1E"/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14:paraId="2D0D7869" w14:textId="4B87C6E1" w:rsidR="00CB7D2A" w:rsidRPr="00CB7D2A" w:rsidRDefault="00CB7D2A" w:rsidP="001D7D2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Prevalence thresholds for overweight and obesity in children under 5 have been proposed by De Onis et al</w:t>
            </w:r>
            <w:r w:rsidR="000322D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CB7D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7D2A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CB7D2A">
              <w:rPr>
                <w:rFonts w:ascii="Times New Roman" w:hAnsi="Times New Roman" w:cs="Times New Roman"/>
                <w:sz w:val="20"/>
                <w:szCs w:val="20"/>
              </w:rPr>
              <w:instrText xml:space="preserve"> ADDIN ZOTERO_ITEM CSL_CITATION {"citationID":"I9DSaxZz","properties":{"formattedCitation":"(1)","plainCitation":"(1)","noteIndex":0},"citationItems":[{"id":2201,"uris":["http://zotero.org/users/1090512/items/EI5G5PM5"],"itemData":{"id":2201,"type":"article-journal","abstract":"Objective: Prevalence ranges to classify levels of wasting and stunting have been used since the 1990s for global monitoring of malnutrition. Recent developments prompted a re-examination of existing ranges and development of new ones for childhood overweight. The present paper reports from the WHO–UNICEF Technical Expert Advisory Group on Nutrition Monitoring. Design: Thresholds were developed in relation to SD of the normative WHO Child Growth Standards. The international deﬁnition of ‘normal’ (2 SD below/above the WHO standards median) deﬁnes the ﬁrst threshold, which includes 2·3 % of the area under the normalized distribution. Multipliers of this ‘very low’ level (rounded to 2·5 %) set the basis to establish subsequent thresholds. Country groupings using the thresholds were produced using the most recent set of national surveys. Setting: One hundred and thirty-four countries. Subjects: Children under 5 years.\nResults: For wasting and overweight, thresholds are: ‘very low’ (&lt;2·5 %), ‘low’ (≈1–2 times 2·5 %), ‘medium’ (≈2–4 times 2·5 %), ‘high’ (≈4–6 times 2·5 %) and ‘very high’ (&gt; ≈6 times 2·5 %). For stunting, thresholds are: ‘very low’ ( &lt;2·5 %), ‘low’ (≈1–4 times 2·5 %), ‘medium’ (≈4–8 times 2·5 %), ‘high’ (≈8–12 times 2·5 %) and ‘very high’ (&gt; ≈12 times 2·5 %).\nConclusions: The proposed thresholds minimize changes and keep coherence across anthropometric indicators. They can be used for descriptive purposes to map countries according to severity levels; by donors and global actors to identify priority countries for action; and by governments to trigger action and target programmes aimed at achieving ‘low’ or ‘very low’ levels. Harmonized terminology will help avoid confusion and promote appropriate interventions.","container-title":"Public Health Nutrition","DOI":"10.1017/S1368980018002434","ISSN":"1368-9800, 1475-2727","issue":"1","language":"en","page":"175-179","source":"Crossref","title":"Prevalence thresholds for wasting, overweight and stunting in children under 5 years","volume":"22","author":[{"family":"Onis","given":"Mercedes","non-dropping-particle":"de"},{"family":"Borghi","given":"Elaine"},{"family":"Arimond","given":"Mary"},{"family":"Webb","given":"Patrick"},{"family":"Croft","given":"Trevor"},{"family":"Saha","given":"Kuntal"},{"family":"De-Regil","given":"Luz Maria"},{"family":"Thuita","given":"Faith"},{"family":"Heidkamp","given":"Rebecca"},{"family":"Krasevec","given":"Julia"},{"family":"Hayashi","given":"Chika"},{"family":"Flores-Ayala","given":"Rafael"}],"issued":{"date-parts":[["2019",1]]}}}],"schema":"https://github.com/citation-style-language/schema/raw/master/csl-citation.json"} </w:instrText>
            </w:r>
            <w:r w:rsidRPr="00CB7D2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B7D2A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 w:rsidR="000322D6">
              <w:rPr>
                <w:rFonts w:ascii="Times New Roman" w:hAnsi="Times New Roman" w:cs="Times New Roman"/>
                <w:noProof/>
                <w:sz w:val="20"/>
                <w:szCs w:val="20"/>
              </w:rPr>
              <w:t>50</w:t>
            </w:r>
            <w:r w:rsidRPr="00CB7D2A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CB7D2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B7D2A">
              <w:rPr>
                <w:rFonts w:ascii="Times New Roman" w:eastAsia="Calibri" w:hAnsi="Times New Roman" w:cs="Times New Roman"/>
                <w:sz w:val="20"/>
                <w:szCs w:val="20"/>
              </w:rPr>
              <w:t>. Less than 5% prevalence of overweight and obesity was determined to be of low public health significance while greater than 10% was determined to be of high public health significance.</w:t>
            </w:r>
          </w:p>
        </w:tc>
      </w:tr>
    </w:tbl>
    <w:p w14:paraId="74A33F85" w14:textId="2074F068" w:rsidR="004B4471" w:rsidRPr="00EE31AA" w:rsidRDefault="004B4471" w:rsidP="004B4471">
      <w:pPr>
        <w:pStyle w:val="Bibliography"/>
        <w:rPr>
          <w:rFonts w:ascii="Calibri" w:hAnsiTheme="majorHAnsi" w:cs="Calibri"/>
          <w:sz w:val="16"/>
          <w:szCs w:val="16"/>
        </w:rPr>
      </w:pPr>
      <w:r w:rsidRPr="00EE31AA">
        <w:rPr>
          <w:rFonts w:ascii="Times New Roman" w:hAnsi="Times New Roman" w:cs="Times New Roman"/>
          <w:b/>
          <w:sz w:val="16"/>
          <w:szCs w:val="16"/>
          <w:vertAlign w:val="superscript"/>
        </w:rPr>
        <w:t>1</w:t>
      </w:r>
      <w:r w:rsidRPr="00EE31AA">
        <w:rPr>
          <w:rFonts w:ascii="Calibri" w:hAnsiTheme="majorHAnsi" w:cs="Calibri"/>
          <w:sz w:val="16"/>
          <w:szCs w:val="16"/>
        </w:rPr>
        <w:t xml:space="preserve"> WHO Expert Committee. Physical status: the use and interpretation of anthropometry: report of a WHO Expert Committee. Geneva: World Health Organization; 1995. </w:t>
      </w:r>
    </w:p>
    <w:p w14:paraId="2857EB5B" w14:textId="77777777" w:rsidR="004B4471" w:rsidRPr="00EE31AA" w:rsidRDefault="004B4471" w:rsidP="004B4471">
      <w:pPr>
        <w:pStyle w:val="Bibliography"/>
        <w:rPr>
          <w:rFonts w:ascii="Calibri" w:hAnsiTheme="majorHAnsi" w:cs="Calibri"/>
          <w:sz w:val="16"/>
          <w:szCs w:val="16"/>
        </w:rPr>
      </w:pPr>
      <w:r w:rsidRPr="00EE31AA">
        <w:rPr>
          <w:sz w:val="16"/>
          <w:szCs w:val="16"/>
          <w:vertAlign w:val="superscript"/>
        </w:rPr>
        <w:t>2</w:t>
      </w:r>
      <w:r w:rsidRPr="00EE31AA">
        <w:rPr>
          <w:sz w:val="16"/>
          <w:szCs w:val="16"/>
        </w:rPr>
        <w:t xml:space="preserve"> </w:t>
      </w:r>
      <w:r w:rsidRPr="00EE31AA">
        <w:rPr>
          <w:rFonts w:ascii="Calibri" w:hAnsiTheme="majorHAnsi" w:cs="Calibri"/>
          <w:sz w:val="16"/>
          <w:szCs w:val="16"/>
        </w:rPr>
        <w:t xml:space="preserve">WHO. Worldwide prevalence of </w:t>
      </w:r>
      <w:proofErr w:type="spellStart"/>
      <w:r w:rsidRPr="00EE31AA">
        <w:rPr>
          <w:rFonts w:ascii="Calibri" w:hAnsiTheme="majorHAnsi" w:cs="Calibri"/>
          <w:sz w:val="16"/>
          <w:szCs w:val="16"/>
        </w:rPr>
        <w:t>anaemia</w:t>
      </w:r>
      <w:proofErr w:type="spellEnd"/>
      <w:r w:rsidRPr="00EE31AA">
        <w:rPr>
          <w:rFonts w:ascii="Calibri" w:hAnsiTheme="majorHAnsi" w:cs="Calibri"/>
          <w:sz w:val="16"/>
          <w:szCs w:val="16"/>
        </w:rPr>
        <w:t xml:space="preserve"> 1993-2005 of: WHO Global Database on </w:t>
      </w:r>
      <w:proofErr w:type="spellStart"/>
      <w:r w:rsidRPr="00EE31AA">
        <w:rPr>
          <w:rFonts w:ascii="Calibri" w:hAnsiTheme="majorHAnsi" w:cs="Calibri"/>
          <w:sz w:val="16"/>
          <w:szCs w:val="16"/>
        </w:rPr>
        <w:t>Anaemia</w:t>
      </w:r>
      <w:proofErr w:type="spellEnd"/>
      <w:r w:rsidRPr="00EE31AA">
        <w:rPr>
          <w:rFonts w:ascii="Calibri" w:hAnsiTheme="majorHAnsi" w:cs="Calibri"/>
          <w:sz w:val="16"/>
          <w:szCs w:val="16"/>
        </w:rPr>
        <w:t xml:space="preserve"> [Internet]. de Benoist B, McLean E, Egli I, Cogswell M, editors. Geneva: World Health Organization; 2008 [cited 2020 Feb 17]. Available from: http://whqlibdoc.who.int/publications/2008/9789241596657_eng.pdf</w:t>
      </w:r>
    </w:p>
    <w:p w14:paraId="64D1249A" w14:textId="4FECCEA2" w:rsidR="004B4471" w:rsidRPr="00C23076" w:rsidRDefault="004B4471" w:rsidP="004B4471">
      <w:pPr>
        <w:pStyle w:val="Bibliography"/>
        <w:rPr>
          <w:rFonts w:ascii="Calibri" w:hAnsiTheme="majorHAnsi" w:cs="Calibri"/>
          <w:sz w:val="20"/>
        </w:rPr>
      </w:pPr>
    </w:p>
    <w:p w14:paraId="41377669" w14:textId="46761E2F" w:rsidR="004B4471" w:rsidRPr="00EE31AA" w:rsidRDefault="004B4471" w:rsidP="00EE31AA"/>
    <w:p w14:paraId="09C74647" w14:textId="35C8B4E6" w:rsidR="00CB7D2A" w:rsidRPr="004B4471" w:rsidRDefault="00CB7D2A" w:rsidP="00CB7D2A">
      <w:pPr>
        <w:spacing w:line="240" w:lineRule="auto"/>
        <w:ind w:hanging="480"/>
        <w:rPr>
          <w:rFonts w:ascii="Times New Roman" w:hAnsi="Times New Roman" w:cs="Times New Roman"/>
          <w:b/>
          <w:sz w:val="20"/>
          <w:szCs w:val="20"/>
        </w:rPr>
      </w:pPr>
    </w:p>
    <w:p w14:paraId="3CDFC412" w14:textId="77777777" w:rsidR="00CB7D2A" w:rsidRPr="00CB7D2A" w:rsidRDefault="00CB7D2A" w:rsidP="00CB7D2A">
      <w:pPr>
        <w:rPr>
          <w:rFonts w:ascii="Times New Roman" w:hAnsi="Times New Roman" w:cs="Times New Roman"/>
          <w:sz w:val="20"/>
          <w:szCs w:val="20"/>
        </w:rPr>
      </w:pPr>
    </w:p>
    <w:p w14:paraId="6F71BBCE" w14:textId="77777777" w:rsidR="00CB7D2A" w:rsidRPr="00CB7D2A" w:rsidRDefault="00CB7D2A" w:rsidP="00CB7D2A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0292B38" w14:textId="77777777" w:rsidR="00245004" w:rsidRPr="00CB7D2A" w:rsidRDefault="00EE31AA">
      <w:pPr>
        <w:rPr>
          <w:rFonts w:ascii="Times New Roman" w:hAnsi="Times New Roman" w:cs="Times New Roman"/>
        </w:rPr>
      </w:pPr>
    </w:p>
    <w:sectPr w:rsidR="00245004" w:rsidRPr="00CB7D2A" w:rsidSect="00DE2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A"/>
    <w:rsid w:val="000322D6"/>
    <w:rsid w:val="0004783E"/>
    <w:rsid w:val="004B4471"/>
    <w:rsid w:val="008E62E6"/>
    <w:rsid w:val="00A17945"/>
    <w:rsid w:val="00CB7D2A"/>
    <w:rsid w:val="00CF607F"/>
    <w:rsid w:val="00D34F51"/>
    <w:rsid w:val="00DE2F9F"/>
    <w:rsid w:val="00EE31AA"/>
    <w:rsid w:val="00F2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18D53"/>
  <w15:chartTrackingRefBased/>
  <w15:docId w15:val="{7AEA16BA-2A80-FA48-8983-1071FD68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D2A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25BC6"/>
    <w:rPr>
      <w:rFonts w:ascii="Arial" w:eastAsia="Arial" w:hAnsi="Arial" w:cs="Arial"/>
      <w:sz w:val="22"/>
      <w:szCs w:val="22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0322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22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22D6"/>
    <w:rPr>
      <w:rFonts w:ascii="Arial" w:eastAsia="Arial" w:hAnsi="Arial" w:cs="Arial"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22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22D6"/>
    <w:rPr>
      <w:rFonts w:ascii="Arial" w:eastAsia="Arial" w:hAnsi="Arial" w:cs="Arial"/>
      <w:b/>
      <w:bCs/>
      <w:sz w:val="20"/>
      <w:szCs w:val="20"/>
      <w:lang w:val="en"/>
    </w:rPr>
  </w:style>
  <w:style w:type="paragraph" w:styleId="Bibliography">
    <w:name w:val="Bibliography"/>
    <w:basedOn w:val="Normal"/>
    <w:next w:val="Normal"/>
    <w:uiPriority w:val="37"/>
    <w:semiHidden/>
    <w:unhideWhenUsed/>
    <w:rsid w:val="004B4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1685</Words>
  <Characters>9609</Characters>
  <Application>Microsoft Office Word</Application>
  <DocSecurity>0</DocSecurity>
  <Lines>80</Lines>
  <Paragraphs>22</Paragraphs>
  <ScaleCrop>false</ScaleCrop>
  <Company/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McLaren</dc:creator>
  <cp:keywords/>
  <dc:description/>
  <cp:lastModifiedBy>chn off32</cp:lastModifiedBy>
  <cp:revision>3</cp:revision>
  <dcterms:created xsi:type="dcterms:W3CDTF">2022-06-27T00:37:00Z</dcterms:created>
  <dcterms:modified xsi:type="dcterms:W3CDTF">2022-07-22T12:18:00Z</dcterms:modified>
</cp:coreProperties>
</file>