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18A1E" w14:textId="5DF7C89C" w:rsidR="005517BD" w:rsidRPr="005517BD" w:rsidRDefault="005517BD" w:rsidP="005517BD">
      <w:pPr>
        <w:rPr>
          <w:rFonts w:ascii="Times New Roman" w:hAnsi="Times New Roman" w:cs="Times New Roman"/>
        </w:rPr>
      </w:pPr>
      <w:r w:rsidRPr="005517BD">
        <w:rPr>
          <w:rFonts w:ascii="Times New Roman" w:hAnsi="Times New Roman" w:cs="Times New Roman"/>
          <w:b/>
          <w:bCs/>
        </w:rPr>
        <w:t>S2 Table.</w:t>
      </w:r>
      <w:r w:rsidRPr="005517BD">
        <w:rPr>
          <w:rFonts w:ascii="Times New Roman" w:hAnsi="Times New Roman" w:cs="Times New Roman"/>
        </w:rPr>
        <w:t xml:space="preserve"> </w:t>
      </w:r>
      <w:r w:rsidRPr="005517BD">
        <w:rPr>
          <w:rFonts w:ascii="Times New Roman" w:hAnsi="Times New Roman" w:cs="Times New Roman"/>
          <w:b/>
        </w:rPr>
        <w:t>Diagnosis indicators where thresholds were established using public health and environmental recommendations (Cutoff Type 2).</w:t>
      </w:r>
    </w:p>
    <w:p w14:paraId="676C70EB" w14:textId="77777777" w:rsidR="005517BD" w:rsidRPr="005517BD" w:rsidRDefault="005517BD" w:rsidP="005517BD">
      <w:pPr>
        <w:rPr>
          <w:rFonts w:ascii="Times New Roman" w:hAnsi="Times New Roman" w:cs="Times New Roman"/>
          <w:sz w:val="20"/>
          <w:szCs w:val="20"/>
        </w:rPr>
      </w:pPr>
    </w:p>
    <w:tbl>
      <w:tblPr>
        <w:tblW w:w="10473" w:type="dxa"/>
        <w:tblInd w:w="-9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03"/>
        <w:gridCol w:w="990"/>
        <w:gridCol w:w="1800"/>
        <w:gridCol w:w="1260"/>
        <w:gridCol w:w="5220"/>
      </w:tblGrid>
      <w:tr w:rsidR="005517BD" w:rsidRPr="005517BD" w14:paraId="7BC3CF13" w14:textId="77777777" w:rsidTr="001D7D2D">
        <w:trPr>
          <w:trHeight w:val="315"/>
        </w:trPr>
        <w:tc>
          <w:tcPr>
            <w:tcW w:w="1203" w:type="dxa"/>
            <w:tcMar>
              <w:top w:w="30" w:type="dxa"/>
              <w:left w:w="45" w:type="dxa"/>
              <w:bottom w:w="30" w:type="dxa"/>
              <w:right w:w="45" w:type="dxa"/>
            </w:tcMar>
            <w:vAlign w:val="center"/>
          </w:tcPr>
          <w:p w14:paraId="4634E746" w14:textId="77777777" w:rsidR="005517BD" w:rsidRPr="005517BD" w:rsidRDefault="005517BD" w:rsidP="001D7D2D">
            <w:pPr>
              <w:spacing w:line="240" w:lineRule="auto"/>
              <w:rPr>
                <w:rFonts w:ascii="Times New Roman" w:eastAsia="Calibri" w:hAnsi="Times New Roman" w:cs="Times New Roman"/>
                <w:b/>
                <w:sz w:val="20"/>
                <w:szCs w:val="20"/>
              </w:rPr>
            </w:pPr>
            <w:r w:rsidRPr="005517BD">
              <w:rPr>
                <w:rFonts w:ascii="Times New Roman" w:eastAsia="Calibri" w:hAnsi="Times New Roman" w:cs="Times New Roman"/>
                <w:b/>
                <w:sz w:val="20"/>
                <w:szCs w:val="20"/>
              </w:rPr>
              <w:t>Sector</w:t>
            </w:r>
          </w:p>
        </w:tc>
        <w:tc>
          <w:tcPr>
            <w:tcW w:w="990" w:type="dxa"/>
            <w:tcMar>
              <w:top w:w="30" w:type="dxa"/>
              <w:left w:w="45" w:type="dxa"/>
              <w:bottom w:w="30" w:type="dxa"/>
              <w:right w:w="45" w:type="dxa"/>
            </w:tcMar>
            <w:vAlign w:val="center"/>
          </w:tcPr>
          <w:p w14:paraId="76994497" w14:textId="77777777" w:rsidR="005517BD" w:rsidRPr="005517BD" w:rsidRDefault="005517BD" w:rsidP="001D7D2D">
            <w:pPr>
              <w:spacing w:line="240" w:lineRule="auto"/>
              <w:rPr>
                <w:rFonts w:ascii="Times New Roman" w:eastAsia="Calibri" w:hAnsi="Times New Roman" w:cs="Times New Roman"/>
                <w:b/>
                <w:sz w:val="20"/>
                <w:szCs w:val="20"/>
              </w:rPr>
            </w:pPr>
            <w:r w:rsidRPr="005517BD">
              <w:rPr>
                <w:rFonts w:ascii="Times New Roman" w:eastAsia="Calibri" w:hAnsi="Times New Roman" w:cs="Times New Roman"/>
                <w:b/>
                <w:sz w:val="20"/>
                <w:szCs w:val="20"/>
              </w:rPr>
              <w:t>Subsector</w:t>
            </w:r>
          </w:p>
        </w:tc>
        <w:tc>
          <w:tcPr>
            <w:tcW w:w="1800" w:type="dxa"/>
            <w:tcMar>
              <w:top w:w="30" w:type="dxa"/>
              <w:left w:w="45" w:type="dxa"/>
              <w:bottom w:w="30" w:type="dxa"/>
              <w:right w:w="45" w:type="dxa"/>
            </w:tcMar>
            <w:vAlign w:val="center"/>
          </w:tcPr>
          <w:p w14:paraId="70E93EBA" w14:textId="77777777" w:rsidR="005517BD" w:rsidRPr="005517BD" w:rsidRDefault="005517BD" w:rsidP="001D7D2D">
            <w:pPr>
              <w:spacing w:line="240" w:lineRule="auto"/>
              <w:rPr>
                <w:rFonts w:ascii="Times New Roman" w:eastAsia="Calibri" w:hAnsi="Times New Roman" w:cs="Times New Roman"/>
                <w:b/>
                <w:sz w:val="20"/>
                <w:szCs w:val="20"/>
              </w:rPr>
            </w:pPr>
            <w:r w:rsidRPr="005517BD">
              <w:rPr>
                <w:rFonts w:ascii="Times New Roman" w:eastAsia="Calibri" w:hAnsi="Times New Roman" w:cs="Times New Roman"/>
                <w:b/>
                <w:sz w:val="20"/>
                <w:szCs w:val="20"/>
              </w:rPr>
              <w:t>Indicator</w:t>
            </w:r>
          </w:p>
        </w:tc>
        <w:tc>
          <w:tcPr>
            <w:tcW w:w="1260" w:type="dxa"/>
            <w:vAlign w:val="center"/>
          </w:tcPr>
          <w:p w14:paraId="3F1858BC" w14:textId="77777777" w:rsidR="005517BD" w:rsidRPr="005517BD" w:rsidRDefault="005517BD" w:rsidP="001D7D2D">
            <w:pPr>
              <w:spacing w:line="240" w:lineRule="auto"/>
              <w:rPr>
                <w:rFonts w:ascii="Times New Roman" w:eastAsia="Calibri" w:hAnsi="Times New Roman" w:cs="Times New Roman"/>
                <w:b/>
                <w:sz w:val="20"/>
                <w:szCs w:val="20"/>
              </w:rPr>
            </w:pPr>
            <w:r w:rsidRPr="005517BD">
              <w:rPr>
                <w:rFonts w:ascii="Times New Roman" w:eastAsia="Calibri" w:hAnsi="Times New Roman" w:cs="Times New Roman"/>
                <w:b/>
                <w:sz w:val="20"/>
                <w:szCs w:val="20"/>
              </w:rPr>
              <w:t>Source</w:t>
            </w:r>
          </w:p>
        </w:tc>
        <w:tc>
          <w:tcPr>
            <w:tcW w:w="5220" w:type="dxa"/>
            <w:vAlign w:val="center"/>
          </w:tcPr>
          <w:p w14:paraId="2411052E" w14:textId="77777777" w:rsidR="005517BD" w:rsidRPr="005517BD" w:rsidRDefault="005517BD" w:rsidP="001D7D2D">
            <w:pPr>
              <w:spacing w:line="240" w:lineRule="auto"/>
              <w:rPr>
                <w:rFonts w:ascii="Times New Roman" w:eastAsia="Calibri" w:hAnsi="Times New Roman" w:cs="Times New Roman"/>
                <w:b/>
                <w:sz w:val="20"/>
                <w:szCs w:val="20"/>
              </w:rPr>
            </w:pPr>
            <w:r w:rsidRPr="005517BD">
              <w:rPr>
                <w:rFonts w:ascii="Times New Roman" w:eastAsia="Calibri" w:hAnsi="Times New Roman" w:cs="Times New Roman"/>
                <w:b/>
                <w:sz w:val="20"/>
                <w:szCs w:val="20"/>
              </w:rPr>
              <w:t xml:space="preserve"> Public health guidance or  </w:t>
            </w:r>
          </w:p>
          <w:p w14:paraId="3C008A3B" w14:textId="77777777" w:rsidR="005517BD" w:rsidRPr="005517BD" w:rsidRDefault="005517BD" w:rsidP="001D7D2D">
            <w:pPr>
              <w:spacing w:line="240" w:lineRule="auto"/>
              <w:rPr>
                <w:rFonts w:ascii="Times New Roman" w:eastAsia="Calibri" w:hAnsi="Times New Roman" w:cs="Times New Roman"/>
                <w:b/>
                <w:sz w:val="20"/>
                <w:szCs w:val="20"/>
              </w:rPr>
            </w:pPr>
            <w:r w:rsidRPr="005517BD">
              <w:rPr>
                <w:rFonts w:ascii="Times New Roman" w:eastAsia="Calibri" w:hAnsi="Times New Roman" w:cs="Times New Roman"/>
                <w:b/>
                <w:sz w:val="20"/>
                <w:szCs w:val="20"/>
              </w:rPr>
              <w:t xml:space="preserve"> recommendations</w:t>
            </w:r>
          </w:p>
        </w:tc>
      </w:tr>
      <w:tr w:rsidR="005517BD" w:rsidRPr="005517BD" w14:paraId="59745A76" w14:textId="77777777" w:rsidTr="001D7D2D">
        <w:trPr>
          <w:trHeight w:val="315"/>
        </w:trPr>
        <w:tc>
          <w:tcPr>
            <w:tcW w:w="1203" w:type="dxa"/>
            <w:tcMar>
              <w:top w:w="30" w:type="dxa"/>
              <w:left w:w="45" w:type="dxa"/>
              <w:bottom w:w="30" w:type="dxa"/>
              <w:right w:w="45" w:type="dxa"/>
            </w:tcMar>
            <w:vAlign w:val="center"/>
          </w:tcPr>
          <w:p w14:paraId="21EBFD59" w14:textId="77777777" w:rsidR="005517BD" w:rsidRPr="005517BD" w:rsidRDefault="005517BD" w:rsidP="001D7D2D">
            <w:pPr>
              <w:rPr>
                <w:rFonts w:ascii="Times New Roman" w:hAnsi="Times New Roman" w:cs="Times New Roman"/>
                <w:sz w:val="20"/>
                <w:szCs w:val="20"/>
              </w:rPr>
            </w:pPr>
            <w:r w:rsidRPr="005517BD">
              <w:rPr>
                <w:rFonts w:ascii="Times New Roman" w:hAnsi="Times New Roman" w:cs="Times New Roman"/>
                <w:sz w:val="20"/>
                <w:szCs w:val="20"/>
              </w:rPr>
              <w:t xml:space="preserve">Food supply chains </w:t>
            </w:r>
          </w:p>
          <w:p w14:paraId="7562F31B" w14:textId="77777777" w:rsidR="005517BD" w:rsidRPr="005517BD" w:rsidRDefault="005517BD" w:rsidP="001D7D2D">
            <w:pPr>
              <w:spacing w:line="240" w:lineRule="auto"/>
              <w:rPr>
                <w:rFonts w:ascii="Times New Roman" w:eastAsia="Calibri" w:hAnsi="Times New Roman" w:cs="Times New Roman"/>
                <w:sz w:val="20"/>
                <w:szCs w:val="20"/>
              </w:rPr>
            </w:pPr>
          </w:p>
        </w:tc>
        <w:tc>
          <w:tcPr>
            <w:tcW w:w="990" w:type="dxa"/>
            <w:tcMar>
              <w:top w:w="30" w:type="dxa"/>
              <w:left w:w="45" w:type="dxa"/>
              <w:bottom w:w="30" w:type="dxa"/>
              <w:right w:w="45" w:type="dxa"/>
            </w:tcMar>
            <w:vAlign w:val="center"/>
          </w:tcPr>
          <w:p w14:paraId="7015405A" w14:textId="77777777"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hAnsi="Times New Roman" w:cs="Times New Roman"/>
                <w:bCs/>
                <w:sz w:val="20"/>
                <w:szCs w:val="20"/>
              </w:rPr>
              <w:t>Production systems and input supply</w:t>
            </w:r>
          </w:p>
        </w:tc>
        <w:tc>
          <w:tcPr>
            <w:tcW w:w="1800" w:type="dxa"/>
            <w:tcMar>
              <w:top w:w="30" w:type="dxa"/>
              <w:left w:w="45" w:type="dxa"/>
              <w:bottom w:w="30" w:type="dxa"/>
              <w:right w:w="45" w:type="dxa"/>
            </w:tcMar>
            <w:vAlign w:val="center"/>
          </w:tcPr>
          <w:p w14:paraId="7A52AC1C" w14:textId="77777777"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highlight w:val="white"/>
              </w:rPr>
              <w:t>1. Crop species richness (average number of crops/ unit of land)</w:t>
            </w:r>
          </w:p>
        </w:tc>
        <w:tc>
          <w:tcPr>
            <w:tcW w:w="1260" w:type="dxa"/>
            <w:vAlign w:val="center"/>
          </w:tcPr>
          <w:p w14:paraId="50A1B245" w14:textId="6A0AF1B6"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IFPRI 2019</w:t>
            </w:r>
            <w:r w:rsidR="006A67E3">
              <w:rPr>
                <w:rFonts w:ascii="Times New Roman" w:eastAsia="Calibri" w:hAnsi="Times New Roman" w:cs="Times New Roman"/>
                <w:sz w:val="20"/>
                <w:szCs w:val="20"/>
              </w:rPr>
              <w:t xml:space="preserve"> (34)</w:t>
            </w:r>
          </w:p>
        </w:tc>
        <w:tc>
          <w:tcPr>
            <w:tcW w:w="5220" w:type="dxa"/>
            <w:vAlign w:val="center"/>
          </w:tcPr>
          <w:p w14:paraId="6640E3E5" w14:textId="00DCE8FF"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 xml:space="preserve">According to </w:t>
            </w:r>
            <w:proofErr w:type="spellStart"/>
            <w:r w:rsidRPr="005517BD">
              <w:rPr>
                <w:rFonts w:ascii="Times New Roman" w:eastAsia="Calibri" w:hAnsi="Times New Roman" w:cs="Times New Roman"/>
                <w:sz w:val="20"/>
                <w:szCs w:val="20"/>
              </w:rPr>
              <w:t>Sirami</w:t>
            </w:r>
            <w:proofErr w:type="spellEnd"/>
            <w:r w:rsidRPr="005517BD">
              <w:rPr>
                <w:rFonts w:ascii="Times New Roman" w:eastAsia="Calibri" w:hAnsi="Times New Roman" w:cs="Times New Roman"/>
                <w:sz w:val="20"/>
                <w:szCs w:val="20"/>
              </w:rPr>
              <w:t xml:space="preserve"> et al.</w:t>
            </w:r>
            <w:r w:rsidR="005404C1" w:rsidRPr="004D1AA2">
              <w:rPr>
                <w:rFonts w:ascii="Times New Roman" w:eastAsia="Calibri" w:hAnsi="Times New Roman" w:cs="Times New Roman"/>
                <w:sz w:val="20"/>
                <w:szCs w:val="20"/>
                <w:vertAlign w:val="superscript"/>
              </w:rPr>
              <w:t>1</w:t>
            </w:r>
            <w:r w:rsidRPr="005517BD">
              <w:rPr>
                <w:rFonts w:ascii="Times New Roman" w:eastAsia="Calibri" w:hAnsi="Times New Roman" w:cs="Times New Roman"/>
                <w:sz w:val="20"/>
                <w:szCs w:val="20"/>
              </w:rPr>
              <w:fldChar w:fldCharType="begin"/>
            </w:r>
            <w:r w:rsidRPr="005517BD">
              <w:rPr>
                <w:rFonts w:ascii="Times New Roman" w:eastAsia="Calibri" w:hAnsi="Times New Roman" w:cs="Times New Roman"/>
                <w:sz w:val="20"/>
                <w:szCs w:val="20"/>
              </w:rPr>
              <w:instrText xml:space="preserve"> PRINTDATE  \* MERGEFORMAT </w:instrText>
            </w:r>
            <w:r w:rsidRPr="005517BD">
              <w:rPr>
                <w:rFonts w:ascii="Times New Roman" w:eastAsia="Calibri" w:hAnsi="Times New Roman" w:cs="Times New Roman"/>
                <w:sz w:val="20"/>
                <w:szCs w:val="20"/>
              </w:rPr>
              <w:fldChar w:fldCharType="end"/>
            </w:r>
            <w:r w:rsidRPr="005517BD">
              <w:rPr>
                <w:rFonts w:ascii="Times New Roman" w:eastAsia="Calibri" w:hAnsi="Times New Roman" w:cs="Times New Roman"/>
                <w:sz w:val="20"/>
                <w:szCs w:val="20"/>
              </w:rPr>
              <w:t>, agricultural landscapes with larger crop diversity (min 0- max 9) host larger multi-taxonomic diversity.</w:t>
            </w:r>
          </w:p>
          <w:p w14:paraId="6273B86F" w14:textId="77777777" w:rsidR="005517BD" w:rsidRPr="005517BD" w:rsidRDefault="005517BD" w:rsidP="001D7D2D">
            <w:pPr>
              <w:spacing w:line="240" w:lineRule="auto"/>
              <w:rPr>
                <w:rFonts w:ascii="Times New Roman" w:eastAsia="Calibri" w:hAnsi="Times New Roman" w:cs="Times New Roman"/>
                <w:sz w:val="20"/>
                <w:szCs w:val="20"/>
              </w:rPr>
            </w:pPr>
          </w:p>
          <w:p w14:paraId="0C7757EA" w14:textId="77777777"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Countries with an average crop diversity of seven or fewer signifies a likely and potential challenge area for the country’s food system.</w:t>
            </w:r>
          </w:p>
        </w:tc>
      </w:tr>
      <w:tr w:rsidR="005517BD" w:rsidRPr="005517BD" w14:paraId="6570105E" w14:textId="77777777" w:rsidTr="001D7D2D">
        <w:trPr>
          <w:trHeight w:val="315"/>
        </w:trPr>
        <w:tc>
          <w:tcPr>
            <w:tcW w:w="1203" w:type="dxa"/>
            <w:vMerge w:val="restart"/>
            <w:tcMar>
              <w:top w:w="30" w:type="dxa"/>
              <w:left w:w="45" w:type="dxa"/>
              <w:bottom w:w="30" w:type="dxa"/>
              <w:right w:w="45" w:type="dxa"/>
            </w:tcMar>
            <w:vAlign w:val="center"/>
          </w:tcPr>
          <w:p w14:paraId="5FBF5262" w14:textId="77777777"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Food environment</w:t>
            </w:r>
          </w:p>
          <w:p w14:paraId="49C85A8F" w14:textId="77777777" w:rsidR="005517BD" w:rsidRPr="005517BD" w:rsidRDefault="005517BD" w:rsidP="001D7D2D">
            <w:pPr>
              <w:spacing w:line="240" w:lineRule="auto"/>
              <w:rPr>
                <w:rFonts w:ascii="Times New Roman" w:eastAsia="Calibri" w:hAnsi="Times New Roman" w:cs="Times New Roman"/>
                <w:sz w:val="20"/>
                <w:szCs w:val="20"/>
              </w:rPr>
            </w:pPr>
          </w:p>
          <w:p w14:paraId="2646FB70" w14:textId="77777777" w:rsidR="005517BD" w:rsidRPr="005517BD" w:rsidRDefault="005517BD" w:rsidP="001D7D2D">
            <w:pPr>
              <w:spacing w:line="240" w:lineRule="auto"/>
              <w:rPr>
                <w:rFonts w:ascii="Times New Roman" w:eastAsia="Calibri" w:hAnsi="Times New Roman" w:cs="Times New Roman"/>
                <w:sz w:val="20"/>
                <w:szCs w:val="20"/>
              </w:rPr>
            </w:pPr>
          </w:p>
        </w:tc>
        <w:tc>
          <w:tcPr>
            <w:tcW w:w="990" w:type="dxa"/>
            <w:vMerge w:val="restart"/>
            <w:tcMar>
              <w:top w:w="30" w:type="dxa"/>
              <w:left w:w="45" w:type="dxa"/>
              <w:bottom w:w="30" w:type="dxa"/>
              <w:right w:w="45" w:type="dxa"/>
            </w:tcMar>
            <w:vAlign w:val="center"/>
          </w:tcPr>
          <w:p w14:paraId="0C28C937" w14:textId="77777777"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Food availability</w:t>
            </w:r>
          </w:p>
          <w:p w14:paraId="13BBE813" w14:textId="77777777" w:rsidR="005517BD" w:rsidRPr="005517BD" w:rsidRDefault="005517BD" w:rsidP="001D7D2D">
            <w:pPr>
              <w:spacing w:line="240" w:lineRule="auto"/>
              <w:rPr>
                <w:rFonts w:ascii="Times New Roman" w:eastAsia="Calibri" w:hAnsi="Times New Roman" w:cs="Times New Roman"/>
                <w:sz w:val="20"/>
                <w:szCs w:val="20"/>
              </w:rPr>
            </w:pPr>
          </w:p>
        </w:tc>
        <w:tc>
          <w:tcPr>
            <w:tcW w:w="1800" w:type="dxa"/>
            <w:tcMar>
              <w:top w:w="30" w:type="dxa"/>
              <w:left w:w="45" w:type="dxa"/>
              <w:bottom w:w="30" w:type="dxa"/>
              <w:right w:w="45" w:type="dxa"/>
            </w:tcMar>
            <w:vAlign w:val="center"/>
          </w:tcPr>
          <w:p w14:paraId="2AC2D102" w14:textId="77777777"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6. Dietary energy in the food supply (kcal/capita/d)</w:t>
            </w:r>
          </w:p>
        </w:tc>
        <w:tc>
          <w:tcPr>
            <w:tcW w:w="1260" w:type="dxa"/>
            <w:vAlign w:val="center"/>
          </w:tcPr>
          <w:p w14:paraId="0ED904BC" w14:textId="1D67F587"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FAOSTAT</w:t>
            </w:r>
            <w:r w:rsidR="006A67E3">
              <w:rPr>
                <w:rFonts w:ascii="Times New Roman" w:eastAsia="Calibri" w:hAnsi="Times New Roman" w:cs="Times New Roman"/>
                <w:sz w:val="20"/>
                <w:szCs w:val="20"/>
              </w:rPr>
              <w:t xml:space="preserve"> (35)</w:t>
            </w:r>
          </w:p>
        </w:tc>
        <w:tc>
          <w:tcPr>
            <w:tcW w:w="5220" w:type="dxa"/>
            <w:vAlign w:val="center"/>
          </w:tcPr>
          <w:p w14:paraId="36974CF4" w14:textId="585D3752"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To achieve energy intake recommendations established by the WHO</w:t>
            </w:r>
            <w:r w:rsidR="005404C1" w:rsidRPr="004D1AA2">
              <w:rPr>
                <w:rFonts w:ascii="Times New Roman" w:eastAsia="Calibri" w:hAnsi="Times New Roman" w:cs="Times New Roman"/>
                <w:sz w:val="20"/>
                <w:szCs w:val="20"/>
                <w:vertAlign w:val="superscript"/>
              </w:rPr>
              <w:t>2</w:t>
            </w:r>
            <w:r w:rsidRPr="005517BD">
              <w:rPr>
                <w:rFonts w:ascii="Times New Roman" w:eastAsia="Calibri" w:hAnsi="Times New Roman" w:cs="Times New Roman"/>
                <w:sz w:val="20"/>
                <w:szCs w:val="20"/>
                <w:vertAlign w:val="superscript"/>
              </w:rPr>
              <w:t xml:space="preserve"> </w:t>
            </w:r>
            <w:r w:rsidRPr="005517BD">
              <w:rPr>
                <w:rFonts w:ascii="Times New Roman" w:eastAsia="Calibri" w:hAnsi="Times New Roman" w:cs="Times New Roman"/>
                <w:sz w:val="20"/>
                <w:szCs w:val="20"/>
              </w:rPr>
              <w:t xml:space="preserve">and EAT-Lancet </w:t>
            </w:r>
            <w:r w:rsidRPr="005517BD">
              <w:rPr>
                <w:rFonts w:ascii="Times New Roman" w:eastAsia="Calibri" w:hAnsi="Times New Roman" w:cs="Times New Roman"/>
                <w:sz w:val="20"/>
                <w:szCs w:val="20"/>
                <w:vertAlign w:val="superscript"/>
              </w:rPr>
              <w:t xml:space="preserve"> </w:t>
            </w:r>
            <w:r w:rsidRPr="005517BD">
              <w:rPr>
                <w:rFonts w:ascii="Times New Roman" w:eastAsia="Calibri" w:hAnsi="Times New Roman" w:cs="Times New Roman"/>
                <w:sz w:val="20"/>
                <w:szCs w:val="20"/>
                <w:vertAlign w:val="superscript"/>
              </w:rPr>
              <w:fldChar w:fldCharType="begin"/>
            </w:r>
            <w:r w:rsidRPr="005517BD">
              <w:rPr>
                <w:rFonts w:ascii="Times New Roman" w:eastAsia="Calibri" w:hAnsi="Times New Roman" w:cs="Times New Roman"/>
                <w:sz w:val="20"/>
                <w:szCs w:val="20"/>
                <w:vertAlign w:val="superscript"/>
              </w:rPr>
              <w:instrText xml:space="preserve"> ADDIN ZOTERO_ITEM CSL_CITATION {"citationID":"bFvtXfrC","properties":{"formattedCitation":"(6)","plainCitation":"(6)","noteIndex":0},"citationItems":[{"id":1503,"uris":["http://zotero.org/users/1090512/items/5CIJNUTB"],"itemData":{"id":1503,"type":"article-journal","container-title":"The Lancet","DOI":"10.1016/S0140-6736(18)31788-4","ISSN":"01406736","issue":"10170","language":"en","page":"447-492","source":"Crossref","title":"Food in the Anthropocene: the EAT–Lancet Commission on healthy diets from sustainable food systems","title-short":"Food in the Anthropocene","volume":"393","author":[{"family":"Willett","given":"Walter"},{"family":"Rockström","given":"Johan"},{"family":"Loken","given":"Brent"},{"family":"Springmann","given":"Marco"},{"family":"Lang","given":"Tim"},{"family":"Vermeulen","given":"Sonja"},{"family":"Garnett","given":"Tara"},{"family":"Tilman","given":"David"},{"family":"DeClerck","given":"Fabrice"},{"family":"Wood","given":"Amanda"},{"family":"Jonell","given":"Malin"},{"family":"Clark","given":"Michael"},{"family":"Gordon","given":"Line J"},{"family":"Fanzo","given":"Jessica"},{"family":"Hawkes","given":"Corinna"},{"family":"Zurayk","given":"Rami"},{"family":"Rivera","given":"Juan A"},{"family":"De Vries","given":"Wim"},{"family":"Majele Sibanda","given":"Lindiwe"},{"family":"Afshin","given":"Ashkan"},{"family":"Chaudhary","given":"Abhishek"},{"family":"Herrero","given":"Mario"},{"family":"Agustina","given":"Rina"},{"family":"Branca","given":"Francesco"},{"family":"Lartey","given":"Anna"},{"family":"Fan","given":"Shenggen"},{"family":"Crona","given":"Beatrice"},{"family":"Fox","given":"Elizabeth"},{"family":"Bignet","given":"Victoria"},{"family":"Troell","given":"Max"},{"family":"Lindahl","given":"Therese"},{"family":"Singh","given":"Sudhvir"},{"family":"Cornell","given":"Sarah E"},{"family":"Srinath Reddy","given":"K"},{"family":"Narain","given":"Sunita"},{"family":"Nishtar","given":"Sania"},{"family":"Murray","given":"Christopher J L"}],"issued":{"date-parts":[["2019",2]]}}}],"schema":"https://github.com/citation-style-language/schema/raw/master/csl-citation.json"} </w:instrText>
            </w:r>
            <w:r w:rsidRPr="005517BD">
              <w:rPr>
                <w:rFonts w:ascii="Times New Roman" w:eastAsia="Calibri" w:hAnsi="Times New Roman" w:cs="Times New Roman"/>
                <w:sz w:val="20"/>
                <w:szCs w:val="20"/>
                <w:vertAlign w:val="superscript"/>
              </w:rPr>
              <w:fldChar w:fldCharType="separate"/>
            </w:r>
            <w:r w:rsidRPr="005517BD">
              <w:rPr>
                <w:rFonts w:ascii="Times New Roman" w:eastAsia="Calibri" w:hAnsi="Times New Roman" w:cs="Times New Roman"/>
                <w:noProof/>
                <w:sz w:val="20"/>
                <w:szCs w:val="20"/>
              </w:rPr>
              <w:t>(6)</w:t>
            </w:r>
            <w:r w:rsidRPr="005517BD">
              <w:rPr>
                <w:rFonts w:ascii="Times New Roman" w:eastAsia="Calibri" w:hAnsi="Times New Roman" w:cs="Times New Roman"/>
                <w:sz w:val="20"/>
                <w:szCs w:val="20"/>
                <w:vertAlign w:val="superscript"/>
              </w:rPr>
              <w:fldChar w:fldCharType="end"/>
            </w:r>
            <w:r w:rsidRPr="005517BD">
              <w:rPr>
                <w:rFonts w:ascii="Times New Roman" w:eastAsia="Calibri" w:hAnsi="Times New Roman" w:cs="Times New Roman"/>
                <w:sz w:val="20"/>
                <w:szCs w:val="20"/>
              </w:rPr>
              <w:t xml:space="preserve"> reference diets, dietary energy in the food supply needs to be greater than 2500 kcal/capita/day. </w:t>
            </w:r>
          </w:p>
        </w:tc>
      </w:tr>
      <w:tr w:rsidR="005517BD" w:rsidRPr="005517BD" w14:paraId="71A1AEA5" w14:textId="77777777" w:rsidTr="001D7D2D">
        <w:trPr>
          <w:trHeight w:val="315"/>
        </w:trPr>
        <w:tc>
          <w:tcPr>
            <w:tcW w:w="1203" w:type="dxa"/>
            <w:vMerge/>
            <w:tcMar>
              <w:top w:w="30" w:type="dxa"/>
              <w:left w:w="45" w:type="dxa"/>
              <w:bottom w:w="30" w:type="dxa"/>
              <w:right w:w="45" w:type="dxa"/>
            </w:tcMar>
            <w:vAlign w:val="center"/>
          </w:tcPr>
          <w:p w14:paraId="1730DD4A" w14:textId="77777777" w:rsidR="005517BD" w:rsidRPr="005517BD" w:rsidRDefault="005517BD" w:rsidP="001D7D2D">
            <w:pPr>
              <w:widowControl w:val="0"/>
              <w:spacing w:line="240" w:lineRule="auto"/>
              <w:rPr>
                <w:rFonts w:ascii="Times New Roman" w:eastAsia="Calibri" w:hAnsi="Times New Roman" w:cs="Times New Roman"/>
                <w:sz w:val="20"/>
                <w:szCs w:val="20"/>
              </w:rPr>
            </w:pPr>
          </w:p>
        </w:tc>
        <w:tc>
          <w:tcPr>
            <w:tcW w:w="990" w:type="dxa"/>
            <w:vMerge/>
            <w:tcMar>
              <w:top w:w="30" w:type="dxa"/>
              <w:left w:w="45" w:type="dxa"/>
              <w:bottom w:w="30" w:type="dxa"/>
              <w:right w:w="45" w:type="dxa"/>
            </w:tcMar>
            <w:vAlign w:val="center"/>
          </w:tcPr>
          <w:p w14:paraId="48A60C04" w14:textId="77777777" w:rsidR="005517BD" w:rsidRPr="005517BD" w:rsidRDefault="005517BD" w:rsidP="001D7D2D">
            <w:pPr>
              <w:widowControl w:val="0"/>
              <w:rPr>
                <w:rFonts w:ascii="Times New Roman" w:eastAsia="Calibri" w:hAnsi="Times New Roman" w:cs="Times New Roman"/>
                <w:sz w:val="20"/>
                <w:szCs w:val="20"/>
              </w:rPr>
            </w:pPr>
          </w:p>
        </w:tc>
        <w:tc>
          <w:tcPr>
            <w:tcW w:w="1800" w:type="dxa"/>
            <w:tcMar>
              <w:top w:w="30" w:type="dxa"/>
              <w:left w:w="45" w:type="dxa"/>
              <w:bottom w:w="30" w:type="dxa"/>
              <w:right w:w="45" w:type="dxa"/>
            </w:tcMar>
            <w:vAlign w:val="center"/>
          </w:tcPr>
          <w:p w14:paraId="2527CEC5" w14:textId="77777777"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8. Fruit supply (g/capita/d)</w:t>
            </w:r>
          </w:p>
        </w:tc>
        <w:tc>
          <w:tcPr>
            <w:tcW w:w="1260" w:type="dxa"/>
            <w:vAlign w:val="center"/>
          </w:tcPr>
          <w:p w14:paraId="033422D4" w14:textId="790B8ED2"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FAOSTAT</w:t>
            </w:r>
            <w:r w:rsidR="006A67E3">
              <w:rPr>
                <w:rFonts w:ascii="Times New Roman" w:eastAsia="Calibri" w:hAnsi="Times New Roman" w:cs="Times New Roman"/>
                <w:sz w:val="20"/>
                <w:szCs w:val="20"/>
              </w:rPr>
              <w:t xml:space="preserve"> (35)</w:t>
            </w:r>
          </w:p>
        </w:tc>
        <w:tc>
          <w:tcPr>
            <w:tcW w:w="5220" w:type="dxa"/>
            <w:vAlign w:val="center"/>
          </w:tcPr>
          <w:p w14:paraId="0228C888" w14:textId="788ABA42"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To achieve fruit</w:t>
            </w:r>
            <w:r w:rsidR="008E77CB">
              <w:rPr>
                <w:rFonts w:ascii="Times New Roman" w:eastAsia="Calibri" w:hAnsi="Times New Roman" w:cs="Times New Roman"/>
                <w:sz w:val="20"/>
                <w:szCs w:val="20"/>
              </w:rPr>
              <w:t xml:space="preserve"> and vegetable</w:t>
            </w:r>
            <w:r w:rsidRPr="005517BD">
              <w:rPr>
                <w:rFonts w:ascii="Times New Roman" w:eastAsia="Calibri" w:hAnsi="Times New Roman" w:cs="Times New Roman"/>
                <w:sz w:val="20"/>
                <w:szCs w:val="20"/>
              </w:rPr>
              <w:t xml:space="preserve"> intake recommendations established by the WHO </w:t>
            </w:r>
            <w:r w:rsidRPr="005517BD">
              <w:rPr>
                <w:rFonts w:ascii="Times New Roman" w:eastAsia="Calibri" w:hAnsi="Times New Roman" w:cs="Times New Roman"/>
                <w:sz w:val="20"/>
                <w:szCs w:val="20"/>
              </w:rPr>
              <w:fldChar w:fldCharType="begin"/>
            </w:r>
            <w:r w:rsidRPr="005517BD">
              <w:rPr>
                <w:rFonts w:ascii="Times New Roman" w:eastAsia="Calibri" w:hAnsi="Times New Roman" w:cs="Times New Roman"/>
                <w:sz w:val="20"/>
                <w:szCs w:val="20"/>
              </w:rPr>
              <w:instrText xml:space="preserve"> ADDIN ZOTERO_ITEM CSL_CITATION {"citationID":"XPNNaRj9","properties":{"formattedCitation":"(5)","plainCitation":"(5)","noteIndex":0},"citationItems":[{"id":844,"uris":["http://zotero.org/users/1090512/items/BTDH3I88"],"itemData":{"id":844,"type":"report","publisher":"WHO","title":"Healthy Diet: Fact Sheet","URL":"http://www.who.int/mediacentre/factsheets/fs394/en/","issued":{"date-parts":[["2018",8]]}}}],"schema":"https://github.com/citation-style-language/schema/raw/master/csl-citation.json"} </w:instrText>
            </w:r>
            <w:r w:rsidRPr="005517BD">
              <w:rPr>
                <w:rFonts w:ascii="Times New Roman" w:eastAsia="Calibri" w:hAnsi="Times New Roman" w:cs="Times New Roman"/>
                <w:sz w:val="20"/>
                <w:szCs w:val="20"/>
              </w:rPr>
              <w:fldChar w:fldCharType="separate"/>
            </w:r>
            <w:r w:rsidRPr="005517BD">
              <w:rPr>
                <w:rFonts w:ascii="Times New Roman" w:eastAsia="Calibri" w:hAnsi="Times New Roman" w:cs="Times New Roman"/>
                <w:noProof/>
                <w:sz w:val="20"/>
                <w:szCs w:val="20"/>
              </w:rPr>
              <w:t>(</w:t>
            </w:r>
            <w:r w:rsidR="008E77CB">
              <w:rPr>
                <w:rFonts w:ascii="Times New Roman" w:eastAsia="Calibri" w:hAnsi="Times New Roman" w:cs="Times New Roman"/>
                <w:noProof/>
                <w:sz w:val="20"/>
                <w:szCs w:val="20"/>
              </w:rPr>
              <w:t>6</w:t>
            </w:r>
            <w:r w:rsidRPr="005517BD">
              <w:rPr>
                <w:rFonts w:ascii="Times New Roman" w:eastAsia="Calibri" w:hAnsi="Times New Roman" w:cs="Times New Roman"/>
                <w:noProof/>
                <w:sz w:val="20"/>
                <w:szCs w:val="20"/>
              </w:rPr>
              <w:t>5)</w:t>
            </w:r>
            <w:r w:rsidRPr="005517BD">
              <w:rPr>
                <w:rFonts w:ascii="Times New Roman" w:eastAsia="Calibri" w:hAnsi="Times New Roman" w:cs="Times New Roman"/>
                <w:sz w:val="20"/>
                <w:szCs w:val="20"/>
              </w:rPr>
              <w:fldChar w:fldCharType="end"/>
            </w:r>
            <w:r w:rsidRPr="005517BD">
              <w:rPr>
                <w:rFonts w:ascii="Times New Roman" w:eastAsia="Calibri" w:hAnsi="Times New Roman" w:cs="Times New Roman"/>
                <w:sz w:val="20"/>
                <w:szCs w:val="20"/>
                <w:vertAlign w:val="superscript"/>
              </w:rPr>
              <w:t xml:space="preserve"> </w:t>
            </w:r>
            <w:r w:rsidRPr="005517BD">
              <w:rPr>
                <w:rFonts w:ascii="Times New Roman" w:eastAsia="Calibri" w:hAnsi="Times New Roman" w:cs="Times New Roman"/>
                <w:sz w:val="20"/>
                <w:szCs w:val="20"/>
              </w:rPr>
              <w:t xml:space="preserve">and EAT-Lancet </w:t>
            </w:r>
            <w:r w:rsidRPr="005517BD">
              <w:rPr>
                <w:rFonts w:ascii="Times New Roman" w:eastAsia="Calibri" w:hAnsi="Times New Roman" w:cs="Times New Roman"/>
                <w:sz w:val="20"/>
                <w:szCs w:val="20"/>
              </w:rPr>
              <w:fldChar w:fldCharType="begin"/>
            </w:r>
            <w:r w:rsidRPr="005517BD">
              <w:rPr>
                <w:rFonts w:ascii="Times New Roman" w:eastAsia="Calibri" w:hAnsi="Times New Roman" w:cs="Times New Roman"/>
                <w:sz w:val="20"/>
                <w:szCs w:val="20"/>
              </w:rPr>
              <w:instrText xml:space="preserve"> ADDIN ZOTERO_ITEM CSL_CITATION {"citationID":"hpfPhEP5","properties":{"formattedCitation":"(6)","plainCitation":"(6)","noteIndex":0},"citationItems":[{"id":1503,"uris":["http://zotero.org/users/1090512/items/5CIJNUTB"],"itemData":{"id":1503,"type":"article-journal","container-title":"The Lancet","DOI":"10.1016/S0140-6736(18)31788-4","ISSN":"01406736","issue":"10170","language":"en","page":"447-492","source":"Crossref","title":"Food in the Anthropocene: the EAT–Lancet Commission on healthy diets from sustainable food systems","title-short":"Food in the Anthropocene","volume":"393","author":[{"family":"Willett","given":"Walter"},{"family":"Rockström","given":"Johan"},{"family":"Loken","given":"Brent"},{"family":"Springmann","given":"Marco"},{"family":"Lang","given":"Tim"},{"family":"Vermeulen","given":"Sonja"},{"family":"Garnett","given":"Tara"},{"family":"Tilman","given":"David"},{"family":"DeClerck","given":"Fabrice"},{"family":"Wood","given":"Amanda"},{"family":"Jonell","given":"Malin"},{"family":"Clark","given":"Michael"},{"family":"Gordon","given":"Line J"},{"family":"Fanzo","given":"Jessica"},{"family":"Hawkes","given":"Corinna"},{"family":"Zurayk","given":"Rami"},{"family":"Rivera","given":"Juan A"},{"family":"De Vries","given":"Wim"},{"family":"Majele Sibanda","given":"Lindiwe"},{"family":"Afshin","given":"Ashkan"},{"family":"Chaudhary","given":"Abhishek"},{"family":"Herrero","given":"Mario"},{"family":"Agustina","given":"Rina"},{"family":"Branca","given":"Francesco"},{"family":"Lartey","given":"Anna"},{"family":"Fan","given":"Shenggen"},{"family":"Crona","given":"Beatrice"},{"family":"Fox","given":"Elizabeth"},{"family":"Bignet","given":"Victoria"},{"family":"Troell","given":"Max"},{"family":"Lindahl","given":"Therese"},{"family":"Singh","given":"Sudhvir"},{"family":"Cornell","given":"Sarah E"},{"family":"Srinath Reddy","given":"K"},{"family":"Narain","given":"Sunita"},{"family":"Nishtar","given":"Sania"},{"family":"Murray","given":"Christopher J L"}],"issued":{"date-parts":[["2019",2]]}}}],"schema":"https://github.com/citation-style-language/schema/raw/master/csl-citation.json"} </w:instrText>
            </w:r>
            <w:r w:rsidRPr="005517BD">
              <w:rPr>
                <w:rFonts w:ascii="Times New Roman" w:eastAsia="Calibri" w:hAnsi="Times New Roman" w:cs="Times New Roman"/>
                <w:sz w:val="20"/>
                <w:szCs w:val="20"/>
              </w:rPr>
              <w:fldChar w:fldCharType="separate"/>
            </w:r>
            <w:r w:rsidRPr="005517BD">
              <w:rPr>
                <w:rFonts w:ascii="Times New Roman" w:eastAsia="Calibri" w:hAnsi="Times New Roman" w:cs="Times New Roman"/>
                <w:noProof/>
                <w:sz w:val="20"/>
                <w:szCs w:val="20"/>
              </w:rPr>
              <w:t>(6)</w:t>
            </w:r>
            <w:r w:rsidRPr="005517BD">
              <w:rPr>
                <w:rFonts w:ascii="Times New Roman" w:eastAsia="Calibri" w:hAnsi="Times New Roman" w:cs="Times New Roman"/>
                <w:sz w:val="20"/>
                <w:szCs w:val="20"/>
              </w:rPr>
              <w:fldChar w:fldCharType="end"/>
            </w:r>
            <w:r w:rsidRPr="005517BD">
              <w:rPr>
                <w:rFonts w:ascii="Times New Roman" w:eastAsia="Calibri" w:hAnsi="Times New Roman" w:cs="Times New Roman"/>
                <w:sz w:val="20"/>
                <w:szCs w:val="20"/>
              </w:rPr>
              <w:t xml:space="preserve"> reference diets, fruit supply needs to be greater than 200 g/capita/day.</w:t>
            </w:r>
          </w:p>
        </w:tc>
      </w:tr>
      <w:tr w:rsidR="005517BD" w:rsidRPr="005517BD" w14:paraId="019AE3ED" w14:textId="77777777" w:rsidTr="001D7D2D">
        <w:trPr>
          <w:trHeight w:val="315"/>
        </w:trPr>
        <w:tc>
          <w:tcPr>
            <w:tcW w:w="1203" w:type="dxa"/>
            <w:vMerge/>
            <w:tcMar>
              <w:top w:w="30" w:type="dxa"/>
              <w:left w:w="45" w:type="dxa"/>
              <w:bottom w:w="30" w:type="dxa"/>
              <w:right w:w="45" w:type="dxa"/>
            </w:tcMar>
            <w:vAlign w:val="center"/>
          </w:tcPr>
          <w:p w14:paraId="62B5EB58" w14:textId="77777777" w:rsidR="005517BD" w:rsidRPr="005517BD" w:rsidRDefault="005517BD" w:rsidP="001D7D2D">
            <w:pPr>
              <w:widowControl w:val="0"/>
              <w:spacing w:line="240" w:lineRule="auto"/>
              <w:rPr>
                <w:rFonts w:ascii="Times New Roman" w:eastAsia="Calibri" w:hAnsi="Times New Roman" w:cs="Times New Roman"/>
                <w:sz w:val="20"/>
                <w:szCs w:val="20"/>
              </w:rPr>
            </w:pPr>
          </w:p>
        </w:tc>
        <w:tc>
          <w:tcPr>
            <w:tcW w:w="990" w:type="dxa"/>
            <w:vMerge/>
            <w:tcMar>
              <w:top w:w="30" w:type="dxa"/>
              <w:left w:w="45" w:type="dxa"/>
              <w:bottom w:w="30" w:type="dxa"/>
              <w:right w:w="45" w:type="dxa"/>
            </w:tcMar>
            <w:vAlign w:val="center"/>
          </w:tcPr>
          <w:p w14:paraId="78126775" w14:textId="77777777" w:rsidR="005517BD" w:rsidRPr="005517BD" w:rsidRDefault="005517BD" w:rsidP="001D7D2D">
            <w:pPr>
              <w:widowControl w:val="0"/>
              <w:rPr>
                <w:rFonts w:ascii="Times New Roman" w:eastAsia="Calibri" w:hAnsi="Times New Roman" w:cs="Times New Roman"/>
                <w:sz w:val="20"/>
                <w:szCs w:val="20"/>
              </w:rPr>
            </w:pPr>
          </w:p>
        </w:tc>
        <w:tc>
          <w:tcPr>
            <w:tcW w:w="1800" w:type="dxa"/>
            <w:tcMar>
              <w:top w:w="30" w:type="dxa"/>
              <w:left w:w="45" w:type="dxa"/>
              <w:bottom w:w="30" w:type="dxa"/>
              <w:right w:w="45" w:type="dxa"/>
            </w:tcMar>
            <w:vAlign w:val="center"/>
          </w:tcPr>
          <w:p w14:paraId="7517E132" w14:textId="77777777"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9. Vegetable supply (g/capita/d)</w:t>
            </w:r>
          </w:p>
        </w:tc>
        <w:tc>
          <w:tcPr>
            <w:tcW w:w="1260" w:type="dxa"/>
            <w:vAlign w:val="center"/>
          </w:tcPr>
          <w:p w14:paraId="3027385F" w14:textId="373EC877"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FAOSTAT</w:t>
            </w:r>
            <w:r w:rsidR="006A67E3">
              <w:rPr>
                <w:rFonts w:ascii="Times New Roman" w:eastAsia="Calibri" w:hAnsi="Times New Roman" w:cs="Times New Roman"/>
                <w:sz w:val="20"/>
                <w:szCs w:val="20"/>
              </w:rPr>
              <w:t xml:space="preserve"> (35)</w:t>
            </w:r>
          </w:p>
        </w:tc>
        <w:tc>
          <w:tcPr>
            <w:tcW w:w="5220" w:type="dxa"/>
            <w:vAlign w:val="center"/>
          </w:tcPr>
          <w:p w14:paraId="6BAA5C11" w14:textId="79A07987"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To achieve</w:t>
            </w:r>
            <w:r w:rsidR="008E77CB">
              <w:rPr>
                <w:rFonts w:ascii="Times New Roman" w:eastAsia="Calibri" w:hAnsi="Times New Roman" w:cs="Times New Roman"/>
                <w:sz w:val="20"/>
                <w:szCs w:val="20"/>
              </w:rPr>
              <w:t xml:space="preserve"> fruit and</w:t>
            </w:r>
            <w:r w:rsidRPr="005517BD">
              <w:rPr>
                <w:rFonts w:ascii="Times New Roman" w:eastAsia="Calibri" w:hAnsi="Times New Roman" w:cs="Times New Roman"/>
                <w:sz w:val="20"/>
                <w:szCs w:val="20"/>
              </w:rPr>
              <w:t xml:space="preserve"> vegetable intake recommendations established by the WHO </w:t>
            </w:r>
            <w:r w:rsidRPr="005517BD">
              <w:rPr>
                <w:rFonts w:ascii="Times New Roman" w:eastAsia="Calibri" w:hAnsi="Times New Roman" w:cs="Times New Roman"/>
                <w:sz w:val="20"/>
                <w:szCs w:val="20"/>
              </w:rPr>
              <w:fldChar w:fldCharType="begin"/>
            </w:r>
            <w:r w:rsidRPr="005517BD">
              <w:rPr>
                <w:rFonts w:ascii="Times New Roman" w:eastAsia="Calibri" w:hAnsi="Times New Roman" w:cs="Times New Roman"/>
                <w:sz w:val="20"/>
                <w:szCs w:val="20"/>
              </w:rPr>
              <w:instrText xml:space="preserve"> ADDIN ZOTERO_ITEM CSL_CITATION {"citationID":"9q82vD18","properties":{"formattedCitation":"(5)","plainCitation":"(5)","noteIndex":0},"citationItems":[{"id":844,"uris":["http://zotero.org/users/1090512/items/BTDH3I88"],"itemData":{"id":844,"type":"report","publisher":"WHO","title":"Healthy Diet: Fact Sheet","URL":"http://www.who.int/mediacentre/factsheets/fs394/en/","issued":{"date-parts":[["2018",8]]}}}],"schema":"https://github.com/citation-style-language/schema/raw/master/csl-citation.json"} </w:instrText>
            </w:r>
            <w:r w:rsidRPr="005517BD">
              <w:rPr>
                <w:rFonts w:ascii="Times New Roman" w:eastAsia="Calibri" w:hAnsi="Times New Roman" w:cs="Times New Roman"/>
                <w:sz w:val="20"/>
                <w:szCs w:val="20"/>
              </w:rPr>
              <w:fldChar w:fldCharType="separate"/>
            </w:r>
            <w:r w:rsidRPr="005517BD">
              <w:rPr>
                <w:rFonts w:ascii="Times New Roman" w:eastAsia="Calibri" w:hAnsi="Times New Roman" w:cs="Times New Roman"/>
                <w:noProof/>
                <w:sz w:val="20"/>
                <w:szCs w:val="20"/>
              </w:rPr>
              <w:t>(</w:t>
            </w:r>
            <w:r w:rsidR="008E77CB">
              <w:rPr>
                <w:rFonts w:ascii="Times New Roman" w:eastAsia="Calibri" w:hAnsi="Times New Roman" w:cs="Times New Roman"/>
                <w:noProof/>
                <w:sz w:val="20"/>
                <w:szCs w:val="20"/>
              </w:rPr>
              <w:t>6</w:t>
            </w:r>
            <w:r w:rsidRPr="005517BD">
              <w:rPr>
                <w:rFonts w:ascii="Times New Roman" w:eastAsia="Calibri" w:hAnsi="Times New Roman" w:cs="Times New Roman"/>
                <w:noProof/>
                <w:sz w:val="20"/>
                <w:szCs w:val="20"/>
              </w:rPr>
              <w:t>5)</w:t>
            </w:r>
            <w:r w:rsidRPr="005517BD">
              <w:rPr>
                <w:rFonts w:ascii="Times New Roman" w:eastAsia="Calibri" w:hAnsi="Times New Roman" w:cs="Times New Roman"/>
                <w:sz w:val="20"/>
                <w:szCs w:val="20"/>
              </w:rPr>
              <w:fldChar w:fldCharType="end"/>
            </w:r>
            <w:r w:rsidRPr="005517BD">
              <w:rPr>
                <w:rFonts w:ascii="Times New Roman" w:eastAsia="Calibri" w:hAnsi="Times New Roman" w:cs="Times New Roman"/>
                <w:sz w:val="20"/>
                <w:szCs w:val="20"/>
              </w:rPr>
              <w:t xml:space="preserve"> and EAT-Lancet </w:t>
            </w:r>
            <w:r w:rsidRPr="005517BD">
              <w:rPr>
                <w:rFonts w:ascii="Times New Roman" w:eastAsia="Calibri" w:hAnsi="Times New Roman" w:cs="Times New Roman"/>
                <w:sz w:val="20"/>
                <w:szCs w:val="20"/>
              </w:rPr>
              <w:fldChar w:fldCharType="begin"/>
            </w:r>
            <w:r w:rsidRPr="005517BD">
              <w:rPr>
                <w:rFonts w:ascii="Times New Roman" w:eastAsia="Calibri" w:hAnsi="Times New Roman" w:cs="Times New Roman"/>
                <w:sz w:val="20"/>
                <w:szCs w:val="20"/>
              </w:rPr>
              <w:instrText xml:space="preserve"> ADDIN ZOTERO_ITEM CSL_CITATION {"citationID":"ktqeae1a","properties":{"formattedCitation":"(6)","plainCitation":"(6)","noteIndex":0},"citationItems":[{"id":1503,"uris":["http://zotero.org/users/1090512/items/5CIJNUTB"],"itemData":{"id":1503,"type":"article-journal","container-title":"The Lancet","DOI":"10.1016/S0140-6736(18)31788-4","ISSN":"01406736","issue":"10170","language":"en","page":"447-492","source":"Crossref","title":"Food in the Anthropocene: the EAT–Lancet Commission on healthy diets from sustainable food systems","title-short":"Food in the Anthropocene","volume":"393","author":[{"family":"Willett","given":"Walter"},{"family":"Rockström","given":"Johan"},{"family":"Loken","given":"Brent"},{"family":"Springmann","given":"Marco"},{"family":"Lang","given":"Tim"},{"family":"Vermeulen","given":"Sonja"},{"family":"Garnett","given":"Tara"},{"family":"Tilman","given":"David"},{"family":"DeClerck","given":"Fabrice"},{"family":"Wood","given":"Amanda"},{"family":"Jonell","given":"Malin"},{"family":"Clark","given":"Michael"},{"family":"Gordon","given":"Line J"},{"family":"Fanzo","given":"Jessica"},{"family":"Hawkes","given":"Corinna"},{"family":"Zurayk","given":"Rami"},{"family":"Rivera","given":"Juan A"},{"family":"De Vries","given":"Wim"},{"family":"Majele Sibanda","given":"Lindiwe"},{"family":"Afshin","given":"Ashkan"},{"family":"Chaudhary","given":"Abhishek"},{"family":"Herrero","given":"Mario"},{"family":"Agustina","given":"Rina"},{"family":"Branca","given":"Francesco"},{"family":"Lartey","given":"Anna"},{"family":"Fan","given":"Shenggen"},{"family":"Crona","given":"Beatrice"},{"family":"Fox","given":"Elizabeth"},{"family":"Bignet","given":"Victoria"},{"family":"Troell","given":"Max"},{"family":"Lindahl","given":"Therese"},{"family":"Singh","given":"Sudhvir"},{"family":"Cornell","given":"Sarah E"},{"family":"Srinath Reddy","given":"K"},{"family":"Narain","given":"Sunita"},{"family":"Nishtar","given":"Sania"},{"family":"Murray","given":"Christopher J L"}],"issued":{"date-parts":[["2019",2]]}}}],"schema":"https://github.com/citation-style-language/schema/raw/master/csl-citation.json"} </w:instrText>
            </w:r>
            <w:r w:rsidRPr="005517BD">
              <w:rPr>
                <w:rFonts w:ascii="Times New Roman" w:eastAsia="Calibri" w:hAnsi="Times New Roman" w:cs="Times New Roman"/>
                <w:sz w:val="20"/>
                <w:szCs w:val="20"/>
              </w:rPr>
              <w:fldChar w:fldCharType="separate"/>
            </w:r>
            <w:r w:rsidRPr="005517BD">
              <w:rPr>
                <w:rFonts w:ascii="Times New Roman" w:eastAsia="Calibri" w:hAnsi="Times New Roman" w:cs="Times New Roman"/>
                <w:noProof/>
                <w:sz w:val="20"/>
                <w:szCs w:val="20"/>
              </w:rPr>
              <w:t>(6)</w:t>
            </w:r>
            <w:r w:rsidRPr="005517BD">
              <w:rPr>
                <w:rFonts w:ascii="Times New Roman" w:eastAsia="Calibri" w:hAnsi="Times New Roman" w:cs="Times New Roman"/>
                <w:sz w:val="20"/>
                <w:szCs w:val="20"/>
              </w:rPr>
              <w:fldChar w:fldCharType="end"/>
            </w:r>
            <w:r w:rsidRPr="005517BD">
              <w:rPr>
                <w:rFonts w:ascii="Times New Roman" w:eastAsia="Calibri" w:hAnsi="Times New Roman" w:cs="Times New Roman"/>
                <w:sz w:val="20"/>
                <w:szCs w:val="20"/>
              </w:rPr>
              <w:t xml:space="preserve"> reference diets, vegetable supply needs to be greater than 200 g/capita/day.</w:t>
            </w:r>
          </w:p>
        </w:tc>
      </w:tr>
      <w:tr w:rsidR="005517BD" w:rsidRPr="005517BD" w14:paraId="1E16CC7E" w14:textId="77777777" w:rsidTr="001D7D2D">
        <w:trPr>
          <w:trHeight w:val="315"/>
        </w:trPr>
        <w:tc>
          <w:tcPr>
            <w:tcW w:w="1203" w:type="dxa"/>
            <w:vMerge/>
            <w:tcMar>
              <w:top w:w="30" w:type="dxa"/>
              <w:left w:w="45" w:type="dxa"/>
              <w:bottom w:w="30" w:type="dxa"/>
              <w:right w:w="45" w:type="dxa"/>
            </w:tcMar>
            <w:vAlign w:val="center"/>
          </w:tcPr>
          <w:p w14:paraId="2E26B65E" w14:textId="77777777" w:rsidR="005517BD" w:rsidRPr="005517BD" w:rsidRDefault="005517BD" w:rsidP="001D7D2D">
            <w:pPr>
              <w:widowControl w:val="0"/>
              <w:spacing w:line="240" w:lineRule="auto"/>
              <w:rPr>
                <w:rFonts w:ascii="Times New Roman" w:eastAsia="Calibri" w:hAnsi="Times New Roman" w:cs="Times New Roman"/>
                <w:sz w:val="20"/>
                <w:szCs w:val="20"/>
              </w:rPr>
            </w:pPr>
          </w:p>
        </w:tc>
        <w:tc>
          <w:tcPr>
            <w:tcW w:w="990" w:type="dxa"/>
            <w:vMerge/>
            <w:tcMar>
              <w:top w:w="30" w:type="dxa"/>
              <w:left w:w="45" w:type="dxa"/>
              <w:bottom w:w="30" w:type="dxa"/>
              <w:right w:w="45" w:type="dxa"/>
            </w:tcMar>
            <w:vAlign w:val="center"/>
          </w:tcPr>
          <w:p w14:paraId="1E2F01A1" w14:textId="77777777" w:rsidR="005517BD" w:rsidRPr="005517BD" w:rsidRDefault="005517BD" w:rsidP="001D7D2D">
            <w:pPr>
              <w:widowControl w:val="0"/>
              <w:rPr>
                <w:rFonts w:ascii="Times New Roman" w:eastAsia="Calibri" w:hAnsi="Times New Roman" w:cs="Times New Roman"/>
                <w:sz w:val="20"/>
                <w:szCs w:val="20"/>
              </w:rPr>
            </w:pPr>
          </w:p>
        </w:tc>
        <w:tc>
          <w:tcPr>
            <w:tcW w:w="1800" w:type="dxa"/>
            <w:tcMar>
              <w:top w:w="30" w:type="dxa"/>
              <w:left w:w="45" w:type="dxa"/>
              <w:bottom w:w="30" w:type="dxa"/>
              <w:right w:w="45" w:type="dxa"/>
            </w:tcMar>
            <w:vAlign w:val="center"/>
          </w:tcPr>
          <w:p w14:paraId="0C5E356D" w14:textId="77777777"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10. Pulse supply (g/capita/d)</w:t>
            </w:r>
          </w:p>
        </w:tc>
        <w:tc>
          <w:tcPr>
            <w:tcW w:w="1260" w:type="dxa"/>
            <w:vAlign w:val="center"/>
          </w:tcPr>
          <w:p w14:paraId="15344DB6" w14:textId="6AE736C8"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FAOSTAT</w:t>
            </w:r>
            <w:r w:rsidR="006A67E3">
              <w:rPr>
                <w:rFonts w:ascii="Times New Roman" w:eastAsia="Calibri" w:hAnsi="Times New Roman" w:cs="Times New Roman"/>
                <w:sz w:val="20"/>
                <w:szCs w:val="20"/>
              </w:rPr>
              <w:t xml:space="preserve"> (35)</w:t>
            </w:r>
          </w:p>
        </w:tc>
        <w:tc>
          <w:tcPr>
            <w:tcW w:w="5220" w:type="dxa"/>
            <w:vAlign w:val="center"/>
          </w:tcPr>
          <w:p w14:paraId="1295F64E" w14:textId="0B2017F7"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To achieve pulse optimal intake suggested  by the Global Burden of Disease</w:t>
            </w:r>
            <w:r w:rsidRPr="005517BD">
              <w:rPr>
                <w:rFonts w:ascii="Times New Roman" w:hAnsi="Times New Roman" w:cs="Times New Roman"/>
                <w:sz w:val="20"/>
                <w:szCs w:val="20"/>
              </w:rPr>
              <w:t xml:space="preserve"> </w:t>
            </w:r>
            <w:r w:rsidRPr="005517BD">
              <w:rPr>
                <w:rFonts w:ascii="Times New Roman" w:hAnsi="Times New Roman" w:cs="Times New Roman"/>
                <w:sz w:val="20"/>
                <w:szCs w:val="20"/>
              </w:rPr>
              <w:fldChar w:fldCharType="begin"/>
            </w:r>
            <w:r w:rsidRPr="005517BD">
              <w:rPr>
                <w:rFonts w:ascii="Times New Roman" w:hAnsi="Times New Roman" w:cs="Times New Roman"/>
                <w:sz w:val="20"/>
                <w:szCs w:val="20"/>
              </w:rPr>
              <w:instrText xml:space="preserve"> ADDIN ZOTERO_ITEM CSL_CITATION {"citationID":"o8cIDhty","properties":{"formattedCitation":"(7)","plainCitation":"(7)","noteIndex":0},"citationItems":[{"id":874,"uris":["http://zotero.org/users/1090512/items/JUFXFI3M"],"itemData":{"id":874,"type":"article-journal","abstract":"Background Suboptimal diet is an important preventable risk factor for non-communicable diseases (NCDs); however, its impact on the burden of NCDs has not been systematically evaluated. This study aimed to evaluate the consumption of major foods and nutrients across 195 countries and to quantify the impact of their suboptimal intake on NCD mortality and morbidity.","container-title":"Lancet","DOI":"10.1016/S0140-6736(19)30041-8","ISSN":"01406736","issue":"10184","language":"en","page":"1958-1972","source":"Crossref","title":"Health effects of dietary risks in 195 countries, 1990–2017: a systematic analysis for the Global Burden of Disease Study 2017","title-short":"Health effects of dietary risks in 195 countries, 1990–2017","volume":"393","author":[{"family":"Afshin","given":"Ashkan"},{"family":"Sur","given":"Patrick John"},{"family":"Fay","given":"Kairsten A."},{"family":"Cornaby","given":"Leslie"},{"family":"Ferrara","given":"Giannina"},{"family":"Salama","given":"Joseph S"},{"family":"Mullany","given":"Erin C"},{"family":"Abate","given":"Kalkidan Hassen"},{"family":"Abbafati","given":"Cristiana"},{"family":"Abebe","given":"Zegeye"},{"family":"Afarideh","given":"Mohsen"},{"family":"Aggarwal","given":"Anju"},{"family":"Agrawal","given":"Sutapa"},{"family":"Akinyemiju","given":"Tomi"},{"family":"Alahdab","given":"Fares"},{"family":"Bacha","given":"Umar"},{"family":"Bachman","given":"Victoria F"},{"family":"Badali","given":"Hamid"},{"family":"Badawi","given":"Alaa"},{"family":"Bensenor","given":"Isabela M"},{"family":"Bernabe","given":"Eduardo"},{"family":"Biadgilign","given":"Sibhatu Kassa K"},{"family":"Biryukov","given":"Stan H"},{"family":"Cahill","given":"Leah E"},{"family":"Carrero","given":"Juan J"},{"family":"Cercy","given":"Kelly M."},{"family":"Dandona","given":"Lalit"},{"family":"Dandona","given":"Rakhi"},{"family":"Dang","given":"Anh Kim"},{"family":"Degefa","given":"Meaza Girma"},{"family":"El Sayed Zaki","given":"Maysaa"},{"family":"Esteghamati","given":"Alireza"},{"family":"Esteghamati","given":"Sadaf"},{"family":"Fanzo","given":"Jessica"},{"family":"Farinha","given":"Carla Sofia e Sá"},{"family":"Farvid","given":"Maryam S"},{"family":"Farzadfar","given":"Farshad"},{"family":"Feigin","given":"Valery L."},{"family":"Fernandes","given":"Joao C"},{"family":"Flor","given":"Luisa Sorio"},{"family":"Foigt","given":"Nataliya A."},{"family":"Forouzanfar","given":"Mohammad H"},{"family":"Ganji","given":"Morsaleh"},{"family":"Geleijnse","given":"Johanna M."},{"family":"Gillum","given":"Richard F"},{"family":"Goulart","given":"Alessandra C"},{"family":"Grosso","given":"Giuseppe"},{"family":"Guessous","given":"Idris"},{"family":"Hamidi","given":"Samer"},{"family":"Hankey","given":"Graeme J."},{"family":"Harikrishnan","given":"Sivadasanpillai"},{"family":"Hassen","given":"Hamid Yimam"},{"family":"Hay","given":"Simon I."},{"family":"Hoang","given":"Chi Linh"},{"family":"Horino","given":"Masako"},{"family":"Islami","given":"Farhad"},{"family":"Jackson","given":"Maria D."},{"family":"James","given":"Spencer L."},{"family":"Johansson","given":"Lars"},{"family":"Jonas","given":"Jost B."},{"family":"Kasaeian","given":"Amir"},{"family":"Khader","given":"Yousef Saleh"},{"family":"Khalil","given":"Ibrahim A."},{"family":"Khang","given":"Young-Ho"},{"family":"Kimokoti","given":"Ruth W"},{"family":"Kokubo","given":"Yoshihiro"},{"family":"Kumar","given":"G Anil"},{"family":"Lallukka","given":"Tea"},{"family":"Lopez","given":"Alan D"},{"family":"Lorkowski","given":"Stefan"},{"family":"Lotufo","given":"Paulo A."},{"family":"Lozano","given":"Rafael"},{"family":"Malekzadeh","given":"Reza"},{"family":"März","given":"Winfried"},{"family":"Meier","given":"Toni"},{"family":"Melaku","given":"Yohannes A"},{"family":"Mendoza","given":"Walter"},{"family":"Mensink","given":"Gert B.M."},{"family":"Micha","given":"Renata"},{"family":"Miller","given":"Ted R"},{"family":"Mirarefin","given":"Mojde"},{"family":"Mohan","given":"Viswanathan"},{"family":"Mokdad","given":"Ali H"},{"family":"Mozaffarian","given":"Dariush"},{"family":"Nagel","given":"Gabriele"},{"family":"Naghavi","given":"Mohsen"},{"family":"Nguyen","given":"Cuong Tat"},{"family":"Nixon","given":"Molly R"},{"family":"Ong","given":"Kanyin L"},{"family":"Pereira","given":"David M."},{"family":"Poustchi","given":"Hossein"},{"family":"Qorbani","given":"Mostafa"},{"family":"Rai","given":"Rajesh Kumar"},{"family":"Razo-García","given":"Christian"},{"family":"Rehm","given":"Colin D"},{"family":"Rivera","given":"Juan A"},{"family":"Rodríguez-Ramírez","given":"Sonia"},{"family":"Roshandel","given":"Gholamreza"},{"family":"Roth","given":"Gregory A"},{"family":"Sanabria","given":"Juan"},{"family":"Sánchez-Pimienta","given":"Tania G"},{"family":"Sartorius","given":"Benn"},{"family":"Schmidhuber","given":"Josef"},{"family":"Schutte","given":"Aletta Elisabeth"},{"family":"Sepanlou","given":"Sadaf G."},{"family":"Shin","given":"Min-Jeong"},{"family":"Sorensen","given":"Reed J.D."},{"family":"Springmann","given":"Marco"},{"family":"Szponar","given":"Lucjan"},{"family":"Thorne-Lyman","given":"Andrew L"},{"family":"Thrift","given":"Amanda G"},{"family":"Touvier","given":"Mathilde"},{"family":"Tran","given":"Bach Xuan"},{"family":"Tyrovolas","given":"Stefanos"},{"family":"Ukwaja","given":"Kingsley Nnanna"},{"family":"Ullah","given":"Irfan"},{"family":"Uthman","given":"Olalekan A"},{"family":"Vaezghasemi","given":"Masoud"},{"family":"Vasankari","given":"Tommi Juhani"},{"family":"Vollset","given":"Stein Emil"},{"family":"Vos","given":"Theo"},{"family":"Vu","given":"Giang Thu"},{"family":"Vu","given":"Linh Gia"},{"family":"Weiderpass","given":"Elisabete"},{"family":"Werdecker","given":"Andrea"},{"family":"Wijeratne","given":"Tissa"},{"family":"Willett","given":"Walter C"},{"family":"Wu","given":"Jason H"},{"family":"Xu","given":"Gelin"},{"family":"Yonemoto","given":"Naohiro"},{"family":"Yu","given":"Chuanhua"},{"family":"Murray","given":"Christopher J L"}],"issued":{"date-parts":[["2019",5]]}}}],"schema":"https://github.com/citation-style-language/schema/raw/master/csl-citation.json"} </w:instrText>
            </w:r>
            <w:r w:rsidRPr="005517BD">
              <w:rPr>
                <w:rFonts w:ascii="Times New Roman" w:hAnsi="Times New Roman" w:cs="Times New Roman"/>
                <w:sz w:val="20"/>
                <w:szCs w:val="20"/>
              </w:rPr>
              <w:fldChar w:fldCharType="separate"/>
            </w:r>
            <w:r w:rsidRPr="005517BD">
              <w:rPr>
                <w:rFonts w:ascii="Times New Roman" w:hAnsi="Times New Roman" w:cs="Times New Roman"/>
                <w:noProof/>
                <w:sz w:val="20"/>
                <w:szCs w:val="20"/>
              </w:rPr>
              <w:t>(</w:t>
            </w:r>
            <w:r w:rsidR="00014674">
              <w:rPr>
                <w:rFonts w:ascii="Times New Roman" w:hAnsi="Times New Roman" w:cs="Times New Roman"/>
                <w:noProof/>
                <w:sz w:val="20"/>
                <w:szCs w:val="20"/>
              </w:rPr>
              <w:t>15</w:t>
            </w:r>
            <w:r w:rsidRPr="005517BD">
              <w:rPr>
                <w:rFonts w:ascii="Times New Roman" w:hAnsi="Times New Roman" w:cs="Times New Roman"/>
                <w:noProof/>
                <w:sz w:val="20"/>
                <w:szCs w:val="20"/>
              </w:rPr>
              <w:t>)</w:t>
            </w:r>
            <w:r w:rsidRPr="005517BD">
              <w:rPr>
                <w:rFonts w:ascii="Times New Roman" w:hAnsi="Times New Roman" w:cs="Times New Roman"/>
                <w:sz w:val="20"/>
                <w:szCs w:val="20"/>
              </w:rPr>
              <w:fldChar w:fldCharType="end"/>
            </w:r>
            <w:r w:rsidRPr="005517BD">
              <w:rPr>
                <w:rFonts w:ascii="Times New Roman" w:eastAsia="Calibri" w:hAnsi="Times New Roman" w:cs="Times New Roman"/>
                <w:sz w:val="20"/>
                <w:szCs w:val="20"/>
              </w:rPr>
              <w:t>, supply of pulses needs to be greater than 60 g/capita/day.</w:t>
            </w:r>
          </w:p>
        </w:tc>
      </w:tr>
      <w:tr w:rsidR="005517BD" w:rsidRPr="005517BD" w14:paraId="4F4813AB" w14:textId="77777777" w:rsidTr="001D7D2D">
        <w:trPr>
          <w:trHeight w:val="315"/>
        </w:trPr>
        <w:tc>
          <w:tcPr>
            <w:tcW w:w="1203" w:type="dxa"/>
            <w:vMerge/>
            <w:tcMar>
              <w:top w:w="30" w:type="dxa"/>
              <w:left w:w="45" w:type="dxa"/>
              <w:bottom w:w="30" w:type="dxa"/>
              <w:right w:w="45" w:type="dxa"/>
            </w:tcMar>
            <w:vAlign w:val="center"/>
          </w:tcPr>
          <w:p w14:paraId="6BAFB7CE" w14:textId="77777777" w:rsidR="005517BD" w:rsidRPr="005517BD" w:rsidRDefault="005517BD" w:rsidP="001D7D2D">
            <w:pPr>
              <w:widowControl w:val="0"/>
              <w:spacing w:line="240" w:lineRule="auto"/>
              <w:rPr>
                <w:rFonts w:ascii="Times New Roman" w:eastAsia="Calibri" w:hAnsi="Times New Roman" w:cs="Times New Roman"/>
                <w:sz w:val="20"/>
                <w:szCs w:val="20"/>
              </w:rPr>
            </w:pPr>
          </w:p>
        </w:tc>
        <w:tc>
          <w:tcPr>
            <w:tcW w:w="990" w:type="dxa"/>
            <w:vMerge w:val="restart"/>
            <w:tcMar>
              <w:top w:w="30" w:type="dxa"/>
              <w:left w:w="45" w:type="dxa"/>
              <w:bottom w:w="30" w:type="dxa"/>
              <w:right w:w="45" w:type="dxa"/>
            </w:tcMar>
            <w:vAlign w:val="center"/>
          </w:tcPr>
          <w:p w14:paraId="4F2B3A9B" w14:textId="77777777" w:rsidR="005517BD" w:rsidRPr="005517BD" w:rsidRDefault="005517BD" w:rsidP="001D7D2D">
            <w:pPr>
              <w:widowControl w:val="0"/>
              <w:rPr>
                <w:rFonts w:ascii="Times New Roman" w:eastAsia="Calibri" w:hAnsi="Times New Roman" w:cs="Times New Roman"/>
                <w:sz w:val="20"/>
                <w:szCs w:val="20"/>
              </w:rPr>
            </w:pPr>
            <w:r w:rsidRPr="005517BD">
              <w:rPr>
                <w:rFonts w:ascii="Times New Roman" w:eastAsia="Calibri" w:hAnsi="Times New Roman" w:cs="Times New Roman"/>
                <w:sz w:val="20"/>
                <w:szCs w:val="20"/>
              </w:rPr>
              <w:t>Food affordability</w:t>
            </w:r>
          </w:p>
        </w:tc>
        <w:tc>
          <w:tcPr>
            <w:tcW w:w="1800" w:type="dxa"/>
            <w:tcMar>
              <w:top w:w="30" w:type="dxa"/>
              <w:left w:w="45" w:type="dxa"/>
              <w:bottom w:w="30" w:type="dxa"/>
              <w:right w:w="45" w:type="dxa"/>
            </w:tcMar>
            <w:vAlign w:val="center"/>
          </w:tcPr>
          <w:p w14:paraId="48742998" w14:textId="77777777" w:rsidR="005517BD" w:rsidRPr="005517BD" w:rsidRDefault="005517BD" w:rsidP="001D7D2D">
            <w:pPr>
              <w:spacing w:line="240" w:lineRule="auto"/>
              <w:rPr>
                <w:rFonts w:ascii="Times New Roman" w:eastAsia="Calibri" w:hAnsi="Times New Roman" w:cs="Times New Roman"/>
                <w:sz w:val="20"/>
                <w:szCs w:val="20"/>
                <w:highlight w:val="yellow"/>
              </w:rPr>
            </w:pPr>
            <w:r w:rsidRPr="005517BD">
              <w:rPr>
                <w:rFonts w:ascii="Times New Roman" w:eastAsia="Calibri" w:hAnsi="Times New Roman" w:cs="Times New Roman"/>
                <w:sz w:val="20"/>
                <w:szCs w:val="20"/>
              </w:rPr>
              <w:t xml:space="preserve">15. </w:t>
            </w:r>
            <w:r w:rsidRPr="005517BD">
              <w:rPr>
                <w:rFonts w:ascii="Times New Roman" w:hAnsi="Times New Roman" w:cs="Times New Roman"/>
                <w:sz w:val="20"/>
                <w:szCs w:val="20"/>
              </w:rPr>
              <w:t>Cost of an energy sufficient diet (2011USD/capita/d)</w:t>
            </w:r>
          </w:p>
        </w:tc>
        <w:tc>
          <w:tcPr>
            <w:tcW w:w="1260" w:type="dxa"/>
            <w:vAlign w:val="center"/>
          </w:tcPr>
          <w:p w14:paraId="2B6C8B87" w14:textId="714DA603"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hAnsi="Times New Roman" w:cs="Times New Roman"/>
                <w:sz w:val="20"/>
                <w:szCs w:val="20"/>
              </w:rPr>
              <w:t>Food Prices for Nutrition</w:t>
            </w:r>
            <w:r w:rsidR="006A67E3">
              <w:rPr>
                <w:rFonts w:ascii="Times New Roman" w:hAnsi="Times New Roman" w:cs="Times New Roman"/>
                <w:sz w:val="20"/>
                <w:szCs w:val="20"/>
              </w:rPr>
              <w:t xml:space="preserve"> (38)</w:t>
            </w:r>
          </w:p>
        </w:tc>
        <w:tc>
          <w:tcPr>
            <w:tcW w:w="5220" w:type="dxa"/>
            <w:vAlign w:val="center"/>
          </w:tcPr>
          <w:p w14:paraId="7E3195AD" w14:textId="4AE6BAB3"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 xml:space="preserve">The food portion of the international poverty line </w:t>
            </w:r>
            <w:r w:rsidR="00014674">
              <w:rPr>
                <w:rFonts w:ascii="Times New Roman" w:eastAsia="Calibri" w:hAnsi="Times New Roman" w:cs="Times New Roman"/>
                <w:sz w:val="20"/>
                <w:szCs w:val="20"/>
              </w:rPr>
              <w:t>was identified as</w:t>
            </w:r>
            <w:r w:rsidRPr="005517BD">
              <w:rPr>
                <w:rFonts w:ascii="Times New Roman" w:eastAsia="Calibri" w:hAnsi="Times New Roman" w:cs="Times New Roman"/>
                <w:sz w:val="20"/>
                <w:szCs w:val="20"/>
              </w:rPr>
              <w:t xml:space="preserve"> $1.20</w:t>
            </w:r>
            <w:r w:rsidR="00014674">
              <w:rPr>
                <w:rFonts w:ascii="Times New Roman" w:eastAsia="Calibri" w:hAnsi="Times New Roman" w:cs="Times New Roman"/>
                <w:sz w:val="20"/>
                <w:szCs w:val="20"/>
              </w:rPr>
              <w:t xml:space="preserve"> (38)</w:t>
            </w:r>
            <w:r w:rsidRPr="005517BD">
              <w:rPr>
                <w:rFonts w:ascii="Times New Roman" w:eastAsia="Calibri" w:hAnsi="Times New Roman" w:cs="Times New Roman"/>
                <w:sz w:val="20"/>
                <w:szCs w:val="20"/>
              </w:rPr>
              <w:t>, and is currently determined based on the cost of adequate dietary energy. The cost of an energy sufficient diet should be no more than $1.20 in international dollars.</w:t>
            </w:r>
          </w:p>
        </w:tc>
      </w:tr>
      <w:tr w:rsidR="005517BD" w:rsidRPr="005517BD" w14:paraId="26708104" w14:textId="77777777" w:rsidTr="001D7D2D">
        <w:trPr>
          <w:trHeight w:val="315"/>
        </w:trPr>
        <w:tc>
          <w:tcPr>
            <w:tcW w:w="1203" w:type="dxa"/>
            <w:vMerge/>
            <w:tcMar>
              <w:top w:w="30" w:type="dxa"/>
              <w:left w:w="45" w:type="dxa"/>
              <w:bottom w:w="30" w:type="dxa"/>
              <w:right w:w="45" w:type="dxa"/>
            </w:tcMar>
            <w:vAlign w:val="center"/>
          </w:tcPr>
          <w:p w14:paraId="1B2770D9" w14:textId="77777777" w:rsidR="005517BD" w:rsidRPr="005517BD" w:rsidRDefault="005517BD" w:rsidP="001D7D2D">
            <w:pPr>
              <w:widowControl w:val="0"/>
              <w:spacing w:line="240" w:lineRule="auto"/>
              <w:rPr>
                <w:rFonts w:ascii="Times New Roman" w:eastAsia="Calibri" w:hAnsi="Times New Roman" w:cs="Times New Roman"/>
                <w:sz w:val="20"/>
                <w:szCs w:val="20"/>
              </w:rPr>
            </w:pPr>
          </w:p>
        </w:tc>
        <w:tc>
          <w:tcPr>
            <w:tcW w:w="990" w:type="dxa"/>
            <w:vMerge/>
            <w:tcMar>
              <w:top w:w="30" w:type="dxa"/>
              <w:left w:w="45" w:type="dxa"/>
              <w:bottom w:w="30" w:type="dxa"/>
              <w:right w:w="45" w:type="dxa"/>
            </w:tcMar>
            <w:vAlign w:val="center"/>
          </w:tcPr>
          <w:p w14:paraId="5320F39F" w14:textId="77777777" w:rsidR="005517BD" w:rsidRPr="005517BD" w:rsidRDefault="005517BD" w:rsidP="001D7D2D">
            <w:pPr>
              <w:widowControl w:val="0"/>
              <w:spacing w:line="240" w:lineRule="auto"/>
              <w:rPr>
                <w:rFonts w:ascii="Times New Roman" w:eastAsia="Calibri" w:hAnsi="Times New Roman" w:cs="Times New Roman"/>
                <w:sz w:val="20"/>
                <w:szCs w:val="20"/>
              </w:rPr>
            </w:pPr>
          </w:p>
        </w:tc>
        <w:tc>
          <w:tcPr>
            <w:tcW w:w="1800" w:type="dxa"/>
            <w:shd w:val="clear" w:color="auto" w:fill="FFFFFF"/>
            <w:tcMar>
              <w:top w:w="30" w:type="dxa"/>
              <w:left w:w="45" w:type="dxa"/>
              <w:bottom w:w="30" w:type="dxa"/>
              <w:right w:w="45" w:type="dxa"/>
            </w:tcMar>
            <w:vAlign w:val="center"/>
          </w:tcPr>
          <w:p w14:paraId="322EFCD8" w14:textId="77777777"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 xml:space="preserve">13. Relative cost of adequate legumes, nuts, and seeds </w:t>
            </w:r>
          </w:p>
          <w:p w14:paraId="4FA6BB64" w14:textId="77777777"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(ratio of the cost of the recommended amount of legumes, nuts, and seeds to the cost of the recommended amount of starchy staples per person per day)</w:t>
            </w:r>
          </w:p>
        </w:tc>
        <w:tc>
          <w:tcPr>
            <w:tcW w:w="1260" w:type="dxa"/>
            <w:shd w:val="clear" w:color="auto" w:fill="FFFFFF"/>
            <w:vAlign w:val="center"/>
          </w:tcPr>
          <w:p w14:paraId="4A6FCBC3" w14:textId="348D721D" w:rsidR="005517BD" w:rsidRPr="005517BD" w:rsidRDefault="005517BD" w:rsidP="001D7D2D">
            <w:pPr>
              <w:spacing w:line="240" w:lineRule="auto"/>
              <w:rPr>
                <w:rFonts w:ascii="Times New Roman" w:hAnsi="Times New Roman" w:cs="Times New Roman"/>
                <w:sz w:val="20"/>
                <w:szCs w:val="20"/>
              </w:rPr>
            </w:pPr>
            <w:r w:rsidRPr="005517BD">
              <w:rPr>
                <w:rFonts w:ascii="Times New Roman" w:hAnsi="Times New Roman" w:cs="Times New Roman"/>
                <w:sz w:val="20"/>
                <w:szCs w:val="20"/>
              </w:rPr>
              <w:t xml:space="preserve">Food Prices for Nutrition </w:t>
            </w:r>
            <w:r w:rsidR="006A67E3">
              <w:rPr>
                <w:rFonts w:ascii="Times New Roman" w:hAnsi="Times New Roman" w:cs="Times New Roman"/>
                <w:sz w:val="20"/>
                <w:szCs w:val="20"/>
              </w:rPr>
              <w:t>(38)</w:t>
            </w:r>
          </w:p>
        </w:tc>
        <w:tc>
          <w:tcPr>
            <w:tcW w:w="5220" w:type="dxa"/>
            <w:shd w:val="clear" w:color="auto" w:fill="FFFFFF"/>
            <w:vAlign w:val="center"/>
          </w:tcPr>
          <w:p w14:paraId="3DE8C8EA" w14:textId="214C873D"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Legumes have similar storage properties as grains, so the relative cost of legumes compared to grains should be similar</w:t>
            </w:r>
            <w:r w:rsidR="00E167B6">
              <w:rPr>
                <w:rFonts w:ascii="Times New Roman" w:eastAsia="Calibri" w:hAnsi="Times New Roman" w:cs="Times New Roman"/>
                <w:sz w:val="20"/>
                <w:szCs w:val="20"/>
              </w:rPr>
              <w:t>, other supply side issues equal</w:t>
            </w:r>
            <w:r w:rsidRPr="005517BD">
              <w:rPr>
                <w:rFonts w:ascii="Times New Roman" w:eastAsia="Calibri" w:hAnsi="Times New Roman" w:cs="Times New Roman"/>
                <w:sz w:val="20"/>
                <w:szCs w:val="20"/>
              </w:rPr>
              <w:t>.</w:t>
            </w:r>
          </w:p>
        </w:tc>
      </w:tr>
      <w:tr w:rsidR="005517BD" w:rsidRPr="005517BD" w14:paraId="2D940AAD" w14:textId="77777777" w:rsidTr="001D7D2D">
        <w:trPr>
          <w:trHeight w:val="315"/>
        </w:trPr>
        <w:tc>
          <w:tcPr>
            <w:tcW w:w="1203" w:type="dxa"/>
            <w:vMerge/>
            <w:tcMar>
              <w:top w:w="30" w:type="dxa"/>
              <w:left w:w="45" w:type="dxa"/>
              <w:bottom w:w="30" w:type="dxa"/>
              <w:right w:w="45" w:type="dxa"/>
            </w:tcMar>
            <w:vAlign w:val="center"/>
          </w:tcPr>
          <w:p w14:paraId="45123F49" w14:textId="77777777" w:rsidR="005517BD" w:rsidRPr="005517BD" w:rsidRDefault="005517BD" w:rsidP="001D7D2D">
            <w:pPr>
              <w:widowControl w:val="0"/>
              <w:spacing w:line="240" w:lineRule="auto"/>
              <w:rPr>
                <w:rFonts w:ascii="Times New Roman" w:eastAsia="Calibri" w:hAnsi="Times New Roman" w:cs="Times New Roman"/>
                <w:sz w:val="20"/>
                <w:szCs w:val="20"/>
              </w:rPr>
            </w:pPr>
          </w:p>
        </w:tc>
        <w:tc>
          <w:tcPr>
            <w:tcW w:w="990" w:type="dxa"/>
            <w:vMerge/>
            <w:tcMar>
              <w:top w:w="30" w:type="dxa"/>
              <w:left w:w="45" w:type="dxa"/>
              <w:bottom w:w="30" w:type="dxa"/>
              <w:right w:w="45" w:type="dxa"/>
            </w:tcMar>
            <w:vAlign w:val="center"/>
          </w:tcPr>
          <w:p w14:paraId="68129C46" w14:textId="77777777" w:rsidR="005517BD" w:rsidRPr="005517BD" w:rsidRDefault="005517BD" w:rsidP="001D7D2D">
            <w:pPr>
              <w:widowControl w:val="0"/>
              <w:spacing w:line="240" w:lineRule="auto"/>
              <w:rPr>
                <w:rFonts w:ascii="Times New Roman" w:eastAsia="Calibri" w:hAnsi="Times New Roman" w:cs="Times New Roman"/>
                <w:sz w:val="20"/>
                <w:szCs w:val="20"/>
              </w:rPr>
            </w:pPr>
          </w:p>
        </w:tc>
        <w:tc>
          <w:tcPr>
            <w:tcW w:w="1800" w:type="dxa"/>
            <w:shd w:val="clear" w:color="auto" w:fill="FFFFFF"/>
            <w:tcMar>
              <w:top w:w="30" w:type="dxa"/>
              <w:left w:w="45" w:type="dxa"/>
              <w:bottom w:w="30" w:type="dxa"/>
              <w:right w:w="45" w:type="dxa"/>
            </w:tcMar>
            <w:vAlign w:val="center"/>
          </w:tcPr>
          <w:p w14:paraId="2D021195" w14:textId="3A63D30B"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 xml:space="preserve">13. Affordability of a healthy diet (ratio of the cost of a healthy diet to observed per capita food expenditures from national accounts) </w:t>
            </w:r>
          </w:p>
        </w:tc>
        <w:tc>
          <w:tcPr>
            <w:tcW w:w="1260" w:type="dxa"/>
            <w:shd w:val="clear" w:color="auto" w:fill="FFFFFF"/>
            <w:vAlign w:val="center"/>
          </w:tcPr>
          <w:p w14:paraId="4369470A" w14:textId="22A40DE3"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hAnsi="Times New Roman" w:cs="Times New Roman"/>
                <w:sz w:val="20"/>
                <w:szCs w:val="20"/>
              </w:rPr>
              <w:t>Food Prices for Nutrition</w:t>
            </w:r>
            <w:r w:rsidR="006A67E3">
              <w:rPr>
                <w:rFonts w:ascii="Times New Roman" w:hAnsi="Times New Roman" w:cs="Times New Roman"/>
                <w:sz w:val="20"/>
                <w:szCs w:val="20"/>
              </w:rPr>
              <w:t xml:space="preserve"> (38)</w:t>
            </w:r>
            <w:r w:rsidRPr="005517BD">
              <w:rPr>
                <w:rFonts w:ascii="Times New Roman" w:hAnsi="Times New Roman" w:cs="Times New Roman"/>
                <w:sz w:val="20"/>
                <w:szCs w:val="20"/>
              </w:rPr>
              <w:t xml:space="preserve"> </w:t>
            </w:r>
          </w:p>
        </w:tc>
        <w:tc>
          <w:tcPr>
            <w:tcW w:w="5220" w:type="dxa"/>
            <w:shd w:val="clear" w:color="auto" w:fill="FFFFFF"/>
            <w:vAlign w:val="center"/>
          </w:tcPr>
          <w:p w14:paraId="38D7102B" w14:textId="77777777"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For people to access a healthy diet, the cost of a healthy diet should not be more than typical food expenditures.</w:t>
            </w:r>
          </w:p>
        </w:tc>
      </w:tr>
      <w:tr w:rsidR="005517BD" w:rsidRPr="005517BD" w14:paraId="4799F7F8" w14:textId="77777777" w:rsidTr="001D7D2D">
        <w:trPr>
          <w:trHeight w:val="315"/>
        </w:trPr>
        <w:tc>
          <w:tcPr>
            <w:tcW w:w="1203" w:type="dxa"/>
            <w:vMerge w:val="restart"/>
            <w:tcMar>
              <w:top w:w="30" w:type="dxa"/>
              <w:left w:w="45" w:type="dxa"/>
              <w:bottom w:w="30" w:type="dxa"/>
              <w:right w:w="45" w:type="dxa"/>
            </w:tcMar>
            <w:vAlign w:val="center"/>
          </w:tcPr>
          <w:p w14:paraId="236A6C83" w14:textId="77777777" w:rsidR="005517BD" w:rsidRPr="005517BD" w:rsidRDefault="005517BD" w:rsidP="001D7D2D">
            <w:pPr>
              <w:spacing w:line="240" w:lineRule="auto"/>
              <w:jc w:val="center"/>
              <w:rPr>
                <w:rFonts w:ascii="Times New Roman" w:eastAsia="Calibri" w:hAnsi="Times New Roman" w:cs="Times New Roman"/>
                <w:sz w:val="20"/>
                <w:szCs w:val="20"/>
              </w:rPr>
            </w:pPr>
          </w:p>
          <w:p w14:paraId="44D19304" w14:textId="77777777"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Environment Outcomes</w:t>
            </w:r>
          </w:p>
          <w:p w14:paraId="3701C77C" w14:textId="77777777" w:rsidR="005517BD" w:rsidRPr="005517BD" w:rsidRDefault="005517BD" w:rsidP="001D7D2D">
            <w:pPr>
              <w:spacing w:line="240" w:lineRule="auto"/>
              <w:rPr>
                <w:rFonts w:ascii="Times New Roman" w:eastAsia="Calibri" w:hAnsi="Times New Roman" w:cs="Times New Roman"/>
                <w:sz w:val="20"/>
                <w:szCs w:val="20"/>
              </w:rPr>
            </w:pPr>
          </w:p>
          <w:p w14:paraId="5A4EC161" w14:textId="77777777" w:rsidR="005517BD" w:rsidRPr="005517BD" w:rsidRDefault="005517BD" w:rsidP="001D7D2D">
            <w:pPr>
              <w:spacing w:line="240" w:lineRule="auto"/>
              <w:rPr>
                <w:rFonts w:ascii="Times New Roman" w:eastAsia="Calibri" w:hAnsi="Times New Roman" w:cs="Times New Roman"/>
                <w:sz w:val="20"/>
                <w:szCs w:val="20"/>
              </w:rPr>
            </w:pPr>
          </w:p>
          <w:p w14:paraId="1A5D7E35" w14:textId="77777777" w:rsidR="005517BD" w:rsidRPr="005517BD" w:rsidRDefault="005517BD" w:rsidP="001D7D2D">
            <w:pPr>
              <w:spacing w:line="240" w:lineRule="auto"/>
              <w:rPr>
                <w:rFonts w:ascii="Times New Roman" w:eastAsia="Calibri" w:hAnsi="Times New Roman" w:cs="Times New Roman"/>
                <w:sz w:val="20"/>
                <w:szCs w:val="20"/>
              </w:rPr>
            </w:pPr>
          </w:p>
          <w:p w14:paraId="0FBF742D" w14:textId="77777777" w:rsidR="005517BD" w:rsidRPr="005517BD" w:rsidRDefault="005517BD" w:rsidP="001D7D2D">
            <w:pPr>
              <w:spacing w:line="240" w:lineRule="auto"/>
              <w:rPr>
                <w:rFonts w:ascii="Times New Roman" w:eastAsia="Calibri" w:hAnsi="Times New Roman" w:cs="Times New Roman"/>
                <w:sz w:val="20"/>
                <w:szCs w:val="20"/>
              </w:rPr>
            </w:pPr>
          </w:p>
        </w:tc>
        <w:tc>
          <w:tcPr>
            <w:tcW w:w="990" w:type="dxa"/>
            <w:tcMar>
              <w:top w:w="30" w:type="dxa"/>
              <w:left w:w="45" w:type="dxa"/>
              <w:bottom w:w="30" w:type="dxa"/>
              <w:right w:w="45" w:type="dxa"/>
            </w:tcMar>
            <w:vAlign w:val="center"/>
          </w:tcPr>
          <w:p w14:paraId="3ED88950" w14:textId="77777777"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Consumption Level</w:t>
            </w:r>
          </w:p>
          <w:p w14:paraId="141886ED" w14:textId="77777777" w:rsidR="005517BD" w:rsidRPr="005517BD" w:rsidRDefault="005517BD" w:rsidP="001D7D2D">
            <w:pPr>
              <w:spacing w:line="240" w:lineRule="auto"/>
              <w:rPr>
                <w:rFonts w:ascii="Times New Roman" w:eastAsia="Calibri" w:hAnsi="Times New Roman" w:cs="Times New Roman"/>
                <w:sz w:val="20"/>
                <w:szCs w:val="20"/>
              </w:rPr>
            </w:pPr>
          </w:p>
        </w:tc>
        <w:tc>
          <w:tcPr>
            <w:tcW w:w="1800" w:type="dxa"/>
            <w:tcMar>
              <w:top w:w="30" w:type="dxa"/>
              <w:left w:w="45" w:type="dxa"/>
              <w:bottom w:w="30" w:type="dxa"/>
              <w:right w:w="45" w:type="dxa"/>
            </w:tcMar>
            <w:vAlign w:val="center"/>
          </w:tcPr>
          <w:p w14:paraId="0BFCE2CE" w14:textId="77777777"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35. Total ecological footprint of consumption (global ha/ capita)</w:t>
            </w:r>
          </w:p>
        </w:tc>
        <w:tc>
          <w:tcPr>
            <w:tcW w:w="1260" w:type="dxa"/>
            <w:vAlign w:val="center"/>
          </w:tcPr>
          <w:p w14:paraId="7F95AEDB" w14:textId="6F754B4E" w:rsidR="005517BD" w:rsidRPr="005517BD" w:rsidRDefault="006A67E3" w:rsidP="001D7D2D">
            <w:pPr>
              <w:spacing w:line="240" w:lineRule="auto"/>
              <w:rPr>
                <w:rFonts w:ascii="Times New Roman" w:eastAsia="Calibri" w:hAnsi="Times New Roman" w:cs="Times New Roman"/>
                <w:color w:val="201F1E"/>
                <w:sz w:val="20"/>
                <w:szCs w:val="20"/>
                <w:highlight w:val="white"/>
              </w:rPr>
            </w:pPr>
            <w:r w:rsidRPr="006A67E3">
              <w:rPr>
                <w:rFonts w:ascii="Times New Roman" w:eastAsia="Calibri" w:hAnsi="Times New Roman" w:cs="Times New Roman"/>
                <w:sz w:val="20"/>
                <w:szCs w:val="20"/>
              </w:rPr>
              <w:t>Global Footprint Network (46)</w:t>
            </w:r>
          </w:p>
        </w:tc>
        <w:tc>
          <w:tcPr>
            <w:tcW w:w="5220" w:type="dxa"/>
            <w:vAlign w:val="center"/>
          </w:tcPr>
          <w:p w14:paraId="2C620657" w14:textId="0A4AE927"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 xml:space="preserve">An ecological footprint equivalent to the </w:t>
            </w:r>
            <w:r w:rsidR="006A67E3">
              <w:rPr>
                <w:rFonts w:ascii="Times New Roman" w:eastAsia="Calibri" w:hAnsi="Times New Roman" w:cs="Times New Roman"/>
                <w:sz w:val="20"/>
                <w:szCs w:val="20"/>
              </w:rPr>
              <w:t>w</w:t>
            </w:r>
            <w:r w:rsidRPr="005517BD">
              <w:rPr>
                <w:rFonts w:ascii="Times New Roman" w:eastAsia="Calibri" w:hAnsi="Times New Roman" w:cs="Times New Roman"/>
                <w:sz w:val="20"/>
                <w:szCs w:val="20"/>
              </w:rPr>
              <w:t xml:space="preserve">orld’s biocapacity in 2014 (1.67 </w:t>
            </w:r>
            <w:proofErr w:type="spellStart"/>
            <w:r w:rsidRPr="005517BD">
              <w:rPr>
                <w:rFonts w:ascii="Times New Roman" w:eastAsia="Calibri" w:hAnsi="Times New Roman" w:cs="Times New Roman"/>
                <w:sz w:val="20"/>
                <w:szCs w:val="20"/>
              </w:rPr>
              <w:t>gha</w:t>
            </w:r>
            <w:proofErr w:type="spellEnd"/>
            <w:r w:rsidRPr="005517BD">
              <w:rPr>
                <w:rFonts w:ascii="Times New Roman" w:eastAsia="Calibri" w:hAnsi="Times New Roman" w:cs="Times New Roman"/>
                <w:sz w:val="20"/>
                <w:szCs w:val="20"/>
              </w:rPr>
              <w:t xml:space="preserve"> per capita)</w:t>
            </w:r>
            <w:r w:rsidR="005404C1" w:rsidRPr="004D1AA2">
              <w:rPr>
                <w:rFonts w:ascii="Times New Roman" w:eastAsia="Calibri" w:hAnsi="Times New Roman" w:cs="Times New Roman"/>
                <w:sz w:val="20"/>
                <w:szCs w:val="20"/>
                <w:vertAlign w:val="superscript"/>
              </w:rPr>
              <w:t>3</w:t>
            </w:r>
            <w:r w:rsidRPr="005517BD">
              <w:rPr>
                <w:rFonts w:ascii="Times New Roman" w:eastAsia="Calibri" w:hAnsi="Times New Roman" w:cs="Times New Roman"/>
                <w:sz w:val="20"/>
                <w:szCs w:val="20"/>
              </w:rPr>
              <w:t xml:space="preserve"> indicates a globally sustainable demand of resources.  Therefore, countries with an ecological footprint above 1.68, and in particular, above the global average of 2.75 </w:t>
            </w:r>
            <w:proofErr w:type="spellStart"/>
            <w:r w:rsidRPr="005517BD">
              <w:rPr>
                <w:rFonts w:ascii="Times New Roman" w:eastAsia="Calibri" w:hAnsi="Times New Roman" w:cs="Times New Roman"/>
                <w:sz w:val="20"/>
                <w:szCs w:val="20"/>
              </w:rPr>
              <w:t>gha</w:t>
            </w:r>
            <w:proofErr w:type="spellEnd"/>
            <w:r w:rsidRPr="005517BD">
              <w:rPr>
                <w:rFonts w:ascii="Times New Roman" w:eastAsia="Calibri" w:hAnsi="Times New Roman" w:cs="Times New Roman"/>
                <w:sz w:val="20"/>
                <w:szCs w:val="20"/>
              </w:rPr>
              <w:t xml:space="preserve"> in 2016, signifies a likely and potential challenge area for the country’s food system.</w:t>
            </w:r>
          </w:p>
        </w:tc>
      </w:tr>
      <w:tr w:rsidR="005517BD" w:rsidRPr="005517BD" w14:paraId="15C4F746" w14:textId="77777777" w:rsidTr="001D7D2D">
        <w:trPr>
          <w:trHeight w:val="315"/>
        </w:trPr>
        <w:tc>
          <w:tcPr>
            <w:tcW w:w="1203" w:type="dxa"/>
            <w:vMerge/>
            <w:tcMar>
              <w:top w:w="30" w:type="dxa"/>
              <w:left w:w="45" w:type="dxa"/>
              <w:bottom w:w="30" w:type="dxa"/>
              <w:right w:w="45" w:type="dxa"/>
            </w:tcMar>
            <w:vAlign w:val="center"/>
          </w:tcPr>
          <w:p w14:paraId="78CAC00E" w14:textId="77777777" w:rsidR="005517BD" w:rsidRPr="005517BD" w:rsidRDefault="005517BD" w:rsidP="001D7D2D">
            <w:pPr>
              <w:spacing w:line="240" w:lineRule="auto"/>
              <w:rPr>
                <w:rFonts w:ascii="Times New Roman" w:eastAsia="Calibri" w:hAnsi="Times New Roman" w:cs="Times New Roman"/>
                <w:sz w:val="20"/>
                <w:szCs w:val="20"/>
              </w:rPr>
            </w:pPr>
          </w:p>
        </w:tc>
        <w:tc>
          <w:tcPr>
            <w:tcW w:w="990" w:type="dxa"/>
            <w:vMerge w:val="restart"/>
            <w:tcMar>
              <w:top w:w="30" w:type="dxa"/>
              <w:left w:w="45" w:type="dxa"/>
              <w:bottom w:w="30" w:type="dxa"/>
              <w:right w:w="45" w:type="dxa"/>
            </w:tcMar>
            <w:vAlign w:val="center"/>
          </w:tcPr>
          <w:p w14:paraId="1536C68F" w14:textId="77777777" w:rsidR="005517BD" w:rsidRPr="005517BD" w:rsidRDefault="005517BD" w:rsidP="001D7D2D">
            <w:pPr>
              <w:rPr>
                <w:rFonts w:ascii="Times New Roman" w:hAnsi="Times New Roman" w:cs="Times New Roman"/>
                <w:sz w:val="20"/>
                <w:szCs w:val="20"/>
              </w:rPr>
            </w:pPr>
            <w:r w:rsidRPr="005517BD">
              <w:rPr>
                <w:rFonts w:ascii="Times New Roman" w:hAnsi="Times New Roman" w:cs="Times New Roman"/>
                <w:sz w:val="20"/>
                <w:szCs w:val="20"/>
              </w:rPr>
              <w:t>Measures at Production Level</w:t>
            </w:r>
          </w:p>
          <w:p w14:paraId="716C1DF5" w14:textId="77777777" w:rsidR="005517BD" w:rsidRPr="005517BD" w:rsidRDefault="005517BD" w:rsidP="001D7D2D">
            <w:pPr>
              <w:spacing w:line="240" w:lineRule="auto"/>
              <w:rPr>
                <w:rFonts w:ascii="Times New Roman" w:eastAsia="Calibri" w:hAnsi="Times New Roman" w:cs="Times New Roman"/>
                <w:sz w:val="20"/>
                <w:szCs w:val="20"/>
              </w:rPr>
            </w:pPr>
          </w:p>
        </w:tc>
        <w:tc>
          <w:tcPr>
            <w:tcW w:w="1800" w:type="dxa"/>
            <w:tcMar>
              <w:top w:w="30" w:type="dxa"/>
              <w:left w:w="45" w:type="dxa"/>
              <w:bottom w:w="30" w:type="dxa"/>
              <w:right w:w="45" w:type="dxa"/>
            </w:tcMar>
            <w:vAlign w:val="center"/>
          </w:tcPr>
          <w:p w14:paraId="5BC6412E" w14:textId="77777777"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highlight w:val="white"/>
              </w:rPr>
              <w:t>36. Total ecological footprint of production (global hectares/capita)</w:t>
            </w:r>
          </w:p>
        </w:tc>
        <w:tc>
          <w:tcPr>
            <w:tcW w:w="1260" w:type="dxa"/>
            <w:vAlign w:val="center"/>
          </w:tcPr>
          <w:p w14:paraId="5FBF613E" w14:textId="76DF409A" w:rsidR="005517BD" w:rsidRPr="005517BD" w:rsidRDefault="005517BD" w:rsidP="001D7D2D">
            <w:pPr>
              <w:spacing w:line="240" w:lineRule="auto"/>
              <w:rPr>
                <w:rFonts w:ascii="Times New Roman" w:eastAsia="Calibri" w:hAnsi="Times New Roman" w:cs="Times New Roman"/>
                <w:color w:val="201F1E"/>
                <w:sz w:val="20"/>
                <w:szCs w:val="20"/>
                <w:highlight w:val="white"/>
              </w:rPr>
            </w:pPr>
            <w:r w:rsidRPr="005517BD">
              <w:rPr>
                <w:rFonts w:ascii="Times New Roman" w:eastAsia="Calibri" w:hAnsi="Times New Roman" w:cs="Times New Roman"/>
                <w:sz w:val="20"/>
                <w:szCs w:val="20"/>
              </w:rPr>
              <w:t xml:space="preserve"> </w:t>
            </w:r>
            <w:r w:rsidR="006A67E3" w:rsidRPr="006A67E3">
              <w:rPr>
                <w:rFonts w:ascii="Times New Roman" w:eastAsia="Calibri" w:hAnsi="Times New Roman" w:cs="Times New Roman"/>
                <w:sz w:val="20"/>
                <w:szCs w:val="20"/>
              </w:rPr>
              <w:t>Global Footprint Network (46)</w:t>
            </w:r>
          </w:p>
        </w:tc>
        <w:tc>
          <w:tcPr>
            <w:tcW w:w="5220" w:type="dxa"/>
            <w:vAlign w:val="center"/>
          </w:tcPr>
          <w:p w14:paraId="4C027811" w14:textId="4A59E3C3"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 xml:space="preserve">An ecological footprint equivalent to the </w:t>
            </w:r>
            <w:r w:rsidR="006A67E3">
              <w:rPr>
                <w:rFonts w:ascii="Times New Roman" w:eastAsia="Calibri" w:hAnsi="Times New Roman" w:cs="Times New Roman"/>
                <w:sz w:val="20"/>
                <w:szCs w:val="20"/>
              </w:rPr>
              <w:t>w</w:t>
            </w:r>
            <w:r w:rsidR="006A67E3" w:rsidRPr="005517BD">
              <w:rPr>
                <w:rFonts w:ascii="Times New Roman" w:eastAsia="Calibri" w:hAnsi="Times New Roman" w:cs="Times New Roman"/>
                <w:sz w:val="20"/>
                <w:szCs w:val="20"/>
              </w:rPr>
              <w:t xml:space="preserve">orld’s </w:t>
            </w:r>
            <w:r w:rsidRPr="005517BD">
              <w:rPr>
                <w:rFonts w:ascii="Times New Roman" w:eastAsia="Calibri" w:hAnsi="Times New Roman" w:cs="Times New Roman"/>
                <w:sz w:val="20"/>
                <w:szCs w:val="20"/>
              </w:rPr>
              <w:t xml:space="preserve">biocapacity in 2014 (1.67 </w:t>
            </w:r>
            <w:proofErr w:type="spellStart"/>
            <w:r w:rsidRPr="005517BD">
              <w:rPr>
                <w:rFonts w:ascii="Times New Roman" w:eastAsia="Calibri" w:hAnsi="Times New Roman" w:cs="Times New Roman"/>
                <w:sz w:val="20"/>
                <w:szCs w:val="20"/>
              </w:rPr>
              <w:t>gha</w:t>
            </w:r>
            <w:proofErr w:type="spellEnd"/>
            <w:r w:rsidRPr="005517BD">
              <w:rPr>
                <w:rFonts w:ascii="Times New Roman" w:eastAsia="Calibri" w:hAnsi="Times New Roman" w:cs="Times New Roman"/>
                <w:sz w:val="20"/>
                <w:szCs w:val="20"/>
              </w:rPr>
              <w:t xml:space="preserve"> per capita)</w:t>
            </w:r>
            <w:r w:rsidR="005404C1" w:rsidRPr="004D1AA2">
              <w:rPr>
                <w:rFonts w:ascii="Times New Roman" w:eastAsia="Calibri" w:hAnsi="Times New Roman" w:cs="Times New Roman"/>
                <w:sz w:val="20"/>
                <w:szCs w:val="20"/>
                <w:vertAlign w:val="superscript"/>
              </w:rPr>
              <w:t>3</w:t>
            </w:r>
            <w:r w:rsidRPr="005517BD">
              <w:rPr>
                <w:rFonts w:ascii="Times New Roman" w:eastAsia="Calibri" w:hAnsi="Times New Roman" w:cs="Times New Roman"/>
                <w:sz w:val="20"/>
                <w:szCs w:val="20"/>
              </w:rPr>
              <w:t xml:space="preserve"> indicates a globally sustainable demand for resources.  Therefore, countries with an ecological footprint above 1.67, and in particular, above the global average of 2.75 </w:t>
            </w:r>
            <w:proofErr w:type="spellStart"/>
            <w:r w:rsidRPr="005517BD">
              <w:rPr>
                <w:rFonts w:ascii="Times New Roman" w:eastAsia="Calibri" w:hAnsi="Times New Roman" w:cs="Times New Roman"/>
                <w:sz w:val="20"/>
                <w:szCs w:val="20"/>
              </w:rPr>
              <w:t>gha</w:t>
            </w:r>
            <w:proofErr w:type="spellEnd"/>
            <w:r w:rsidRPr="005517BD">
              <w:rPr>
                <w:rFonts w:ascii="Times New Roman" w:eastAsia="Calibri" w:hAnsi="Times New Roman" w:cs="Times New Roman"/>
                <w:sz w:val="20"/>
                <w:szCs w:val="20"/>
              </w:rPr>
              <w:t xml:space="preserve"> in 2016, signifies a potential and likely challenge area for the country’s food system.</w:t>
            </w:r>
          </w:p>
        </w:tc>
      </w:tr>
      <w:tr w:rsidR="005517BD" w:rsidRPr="005517BD" w14:paraId="2FF974A8" w14:textId="77777777" w:rsidTr="001D7D2D">
        <w:trPr>
          <w:trHeight w:val="315"/>
        </w:trPr>
        <w:tc>
          <w:tcPr>
            <w:tcW w:w="1203" w:type="dxa"/>
            <w:vMerge/>
            <w:tcMar>
              <w:top w:w="30" w:type="dxa"/>
              <w:left w:w="45" w:type="dxa"/>
              <w:bottom w:w="30" w:type="dxa"/>
              <w:right w:w="45" w:type="dxa"/>
            </w:tcMar>
            <w:vAlign w:val="center"/>
          </w:tcPr>
          <w:p w14:paraId="404EFCC4" w14:textId="77777777" w:rsidR="005517BD" w:rsidRPr="005517BD" w:rsidRDefault="005517BD" w:rsidP="001D7D2D">
            <w:pPr>
              <w:spacing w:line="240" w:lineRule="auto"/>
              <w:rPr>
                <w:rFonts w:ascii="Times New Roman" w:eastAsia="Calibri" w:hAnsi="Times New Roman" w:cs="Times New Roman"/>
                <w:sz w:val="20"/>
                <w:szCs w:val="20"/>
              </w:rPr>
            </w:pPr>
          </w:p>
        </w:tc>
        <w:tc>
          <w:tcPr>
            <w:tcW w:w="990" w:type="dxa"/>
            <w:vMerge/>
            <w:tcMar>
              <w:top w:w="30" w:type="dxa"/>
              <w:left w:w="45" w:type="dxa"/>
              <w:bottom w:w="30" w:type="dxa"/>
              <w:right w:w="45" w:type="dxa"/>
            </w:tcMar>
            <w:vAlign w:val="center"/>
          </w:tcPr>
          <w:p w14:paraId="3143B7DB" w14:textId="77777777" w:rsidR="005517BD" w:rsidRPr="005517BD" w:rsidRDefault="005517BD" w:rsidP="001D7D2D">
            <w:pPr>
              <w:spacing w:line="240" w:lineRule="auto"/>
              <w:rPr>
                <w:rFonts w:ascii="Times New Roman" w:eastAsia="Calibri" w:hAnsi="Times New Roman" w:cs="Times New Roman"/>
                <w:sz w:val="20"/>
                <w:szCs w:val="20"/>
              </w:rPr>
            </w:pPr>
          </w:p>
        </w:tc>
        <w:tc>
          <w:tcPr>
            <w:tcW w:w="1800" w:type="dxa"/>
            <w:tcMar>
              <w:top w:w="30" w:type="dxa"/>
              <w:left w:w="45" w:type="dxa"/>
              <w:bottom w:w="30" w:type="dxa"/>
              <w:right w:w="45" w:type="dxa"/>
            </w:tcMar>
            <w:vAlign w:val="center"/>
          </w:tcPr>
          <w:p w14:paraId="0DF11F6F" w14:textId="77777777"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 xml:space="preserve">37. Average number of threats to soil biodiversity </w:t>
            </w:r>
          </w:p>
        </w:tc>
        <w:tc>
          <w:tcPr>
            <w:tcW w:w="1260" w:type="dxa"/>
            <w:vAlign w:val="center"/>
          </w:tcPr>
          <w:p w14:paraId="764F94C0" w14:textId="530EE0D4" w:rsidR="005517BD" w:rsidRPr="005517BD" w:rsidRDefault="005517BD" w:rsidP="001D7D2D">
            <w:pPr>
              <w:spacing w:line="240" w:lineRule="auto"/>
              <w:rPr>
                <w:rFonts w:ascii="Times New Roman" w:eastAsia="Calibri" w:hAnsi="Times New Roman" w:cs="Times New Roman"/>
                <w:sz w:val="20"/>
                <w:szCs w:val="20"/>
              </w:rPr>
            </w:pPr>
            <w:proofErr w:type="spellStart"/>
            <w:r w:rsidRPr="005517BD">
              <w:rPr>
                <w:rFonts w:ascii="Times New Roman" w:eastAsia="Calibri" w:hAnsi="Times New Roman" w:cs="Times New Roman"/>
                <w:color w:val="201F1E"/>
                <w:sz w:val="20"/>
                <w:szCs w:val="20"/>
                <w:highlight w:val="white"/>
              </w:rPr>
              <w:t>Orgiazzi</w:t>
            </w:r>
            <w:proofErr w:type="spellEnd"/>
            <w:r w:rsidRPr="005517BD">
              <w:rPr>
                <w:rFonts w:ascii="Times New Roman" w:eastAsia="Calibri" w:hAnsi="Times New Roman" w:cs="Times New Roman"/>
                <w:color w:val="201F1E"/>
                <w:sz w:val="20"/>
                <w:szCs w:val="20"/>
                <w:highlight w:val="white"/>
              </w:rPr>
              <w:t xml:space="preserve"> et al</w:t>
            </w:r>
            <w:r w:rsidR="00E167B6">
              <w:rPr>
                <w:rFonts w:ascii="Times New Roman" w:eastAsia="Calibri" w:hAnsi="Times New Roman" w:cs="Times New Roman"/>
                <w:color w:val="201F1E"/>
                <w:sz w:val="20"/>
                <w:szCs w:val="20"/>
                <w:highlight w:val="white"/>
              </w:rPr>
              <w:t>.</w:t>
            </w:r>
            <w:r w:rsidRPr="005517BD">
              <w:rPr>
                <w:rFonts w:ascii="Times New Roman" w:eastAsia="Calibri" w:hAnsi="Times New Roman" w:cs="Times New Roman"/>
                <w:color w:val="201F1E"/>
                <w:sz w:val="20"/>
                <w:szCs w:val="20"/>
                <w:highlight w:val="white"/>
              </w:rPr>
              <w:t xml:space="preserve"> 2016</w:t>
            </w:r>
            <w:r w:rsidRPr="005517BD">
              <w:rPr>
                <w:rFonts w:ascii="Times New Roman" w:eastAsia="Calibri" w:hAnsi="Times New Roman" w:cs="Times New Roman"/>
                <w:color w:val="201F1E"/>
                <w:sz w:val="20"/>
                <w:szCs w:val="20"/>
              </w:rPr>
              <w:t xml:space="preserve"> </w:t>
            </w:r>
            <w:r w:rsidRPr="005517BD">
              <w:rPr>
                <w:rFonts w:ascii="Times New Roman" w:eastAsia="Calibri" w:hAnsi="Times New Roman" w:cs="Times New Roman"/>
                <w:color w:val="201F1E"/>
                <w:sz w:val="20"/>
                <w:szCs w:val="20"/>
              </w:rPr>
              <w:fldChar w:fldCharType="begin"/>
            </w:r>
            <w:r w:rsidRPr="005517BD">
              <w:rPr>
                <w:rFonts w:ascii="Times New Roman" w:eastAsia="Calibri" w:hAnsi="Times New Roman" w:cs="Times New Roman"/>
                <w:color w:val="201F1E"/>
                <w:sz w:val="20"/>
                <w:szCs w:val="20"/>
              </w:rPr>
              <w:instrText xml:space="preserve"> ADDIN ZOTERO_ITEM CSL_CITATION {"citationID":"QNztvBUy","properties":{"formattedCitation":"(9)","plainCitation":"(9)","noteIndex":0},"citationItems":[{"id":4790,"uris":["http://zotero.org/users/1090512/items/5W4KC5PZ"],"itemData":{"id":4790,"type":"book","abstract":"\"The Atlas describes soil as habitat for the diversity of organisms that live under our feet. At the same time, it draws attention to the threats to soil biodiversity, such as invasive species, pollution, intensive land use practices or climate change. The Atlas provides current solutions for a sustainable management of soils. It was coordinated by the JRC and the Global Soil Biodiversity Initiative (www.globalsoilbiodiversity.org) with more than 70 contributing organisations and several hundred individual contributions. It illustrates the diversity of soil organisms, explains their geographical and temporal distribution, the ecosystem functions and services provided by soil biota. Most importantly, it draws attention to the myriad of threats to soil biodiversity. These include inappropriate land management practices (e.g. deforestation, land take for infrastructure development), agricultural systems, over-grazing, forest fires and poor water management (both irrigation and drainage). Other practices such as land conversion from grassland or forest to cropped land result in rapid loss of soil carbon, which indirectly enhances global warming. The Atlas shows that mismanaging soils could exacerbate the effects of climate change, jeopardise agricultural production, compromise the quality of ground water and worsen pollution. It also proposes solutions to safeguard soil biodiversity through the development of policies that directly or indirectly target soil health, leading to a more sustainable use.\"--","ISBN":"978-92-79-48169-7","language":"English","note":"OCLC: 1102573790","source":"Open WorldCat","title":"Global soil biodiversity atlas","author":[{"family":"Orgiazzi","given":"Alberto"},{"literal":"Commission europ??enne"},{"literal":"Centre commun de recherche"},{"literal":"Global Soil Biodiversity Initiative"}],"issued":{"date-parts":[["2016"]]}}}],"schema":"https://github.com/citation-style-language/schema/raw/master/csl-citation.json"} </w:instrText>
            </w:r>
            <w:r w:rsidRPr="005517BD">
              <w:rPr>
                <w:rFonts w:ascii="Times New Roman" w:eastAsia="Calibri" w:hAnsi="Times New Roman" w:cs="Times New Roman"/>
                <w:color w:val="201F1E"/>
                <w:sz w:val="20"/>
                <w:szCs w:val="20"/>
              </w:rPr>
              <w:fldChar w:fldCharType="separate"/>
            </w:r>
            <w:r w:rsidRPr="005517BD">
              <w:rPr>
                <w:rFonts w:ascii="Times New Roman" w:eastAsia="Calibri" w:hAnsi="Times New Roman" w:cs="Times New Roman"/>
                <w:noProof/>
                <w:color w:val="201F1E"/>
                <w:sz w:val="20"/>
                <w:szCs w:val="20"/>
              </w:rPr>
              <w:t>(</w:t>
            </w:r>
            <w:r w:rsidR="006A67E3">
              <w:rPr>
                <w:rFonts w:ascii="Times New Roman" w:eastAsia="Calibri" w:hAnsi="Times New Roman" w:cs="Times New Roman"/>
                <w:noProof/>
                <w:color w:val="201F1E"/>
                <w:sz w:val="20"/>
                <w:szCs w:val="20"/>
              </w:rPr>
              <w:t>47</w:t>
            </w:r>
            <w:r w:rsidRPr="005517BD">
              <w:rPr>
                <w:rFonts w:ascii="Times New Roman" w:eastAsia="Calibri" w:hAnsi="Times New Roman" w:cs="Times New Roman"/>
                <w:noProof/>
                <w:color w:val="201F1E"/>
                <w:sz w:val="20"/>
                <w:szCs w:val="20"/>
              </w:rPr>
              <w:t>)</w:t>
            </w:r>
            <w:r w:rsidRPr="005517BD">
              <w:rPr>
                <w:rFonts w:ascii="Times New Roman" w:eastAsia="Calibri" w:hAnsi="Times New Roman" w:cs="Times New Roman"/>
                <w:color w:val="201F1E"/>
                <w:sz w:val="20"/>
                <w:szCs w:val="20"/>
              </w:rPr>
              <w:fldChar w:fldCharType="end"/>
            </w:r>
          </w:p>
        </w:tc>
        <w:tc>
          <w:tcPr>
            <w:tcW w:w="5220" w:type="dxa"/>
            <w:vAlign w:val="center"/>
          </w:tcPr>
          <w:p w14:paraId="660A8920" w14:textId="77777777"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No global cutoffs currently exist in the literature for the average number of threats to soil biodiversity. The maximum average number of threats per country is around four, although this indicator accounts for eight threats.</w:t>
            </w:r>
          </w:p>
          <w:p w14:paraId="3D3B88BC" w14:textId="77777777"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Countries with an average number of threats above two signifies a likely challenge area for the country’s food system.</w:t>
            </w:r>
          </w:p>
        </w:tc>
      </w:tr>
      <w:tr w:rsidR="005517BD" w:rsidRPr="005517BD" w14:paraId="748317C9" w14:textId="77777777" w:rsidTr="001D7D2D">
        <w:trPr>
          <w:trHeight w:val="315"/>
        </w:trPr>
        <w:tc>
          <w:tcPr>
            <w:tcW w:w="1203" w:type="dxa"/>
            <w:vMerge/>
            <w:tcMar>
              <w:top w:w="30" w:type="dxa"/>
              <w:left w:w="45" w:type="dxa"/>
              <w:bottom w:w="30" w:type="dxa"/>
              <w:right w:w="45" w:type="dxa"/>
            </w:tcMar>
            <w:vAlign w:val="center"/>
          </w:tcPr>
          <w:p w14:paraId="0FFD1B23" w14:textId="77777777" w:rsidR="005517BD" w:rsidRPr="005517BD" w:rsidRDefault="005517BD" w:rsidP="001D7D2D">
            <w:pPr>
              <w:spacing w:line="240" w:lineRule="auto"/>
              <w:rPr>
                <w:rFonts w:ascii="Times New Roman" w:eastAsia="Calibri" w:hAnsi="Times New Roman" w:cs="Times New Roman"/>
                <w:sz w:val="20"/>
                <w:szCs w:val="20"/>
              </w:rPr>
            </w:pPr>
          </w:p>
        </w:tc>
        <w:tc>
          <w:tcPr>
            <w:tcW w:w="990" w:type="dxa"/>
            <w:vMerge/>
            <w:tcMar>
              <w:top w:w="30" w:type="dxa"/>
              <w:left w:w="45" w:type="dxa"/>
              <w:bottom w:w="30" w:type="dxa"/>
              <w:right w:w="45" w:type="dxa"/>
            </w:tcMar>
            <w:vAlign w:val="center"/>
          </w:tcPr>
          <w:p w14:paraId="7C06D9D7" w14:textId="77777777" w:rsidR="005517BD" w:rsidRPr="005517BD" w:rsidRDefault="005517BD" w:rsidP="001D7D2D">
            <w:pPr>
              <w:spacing w:line="240" w:lineRule="auto"/>
              <w:rPr>
                <w:rFonts w:ascii="Times New Roman" w:eastAsia="Calibri" w:hAnsi="Times New Roman" w:cs="Times New Roman"/>
                <w:sz w:val="20"/>
                <w:szCs w:val="20"/>
              </w:rPr>
            </w:pPr>
          </w:p>
        </w:tc>
        <w:tc>
          <w:tcPr>
            <w:tcW w:w="1800" w:type="dxa"/>
            <w:tcMar>
              <w:top w:w="30" w:type="dxa"/>
              <w:left w:w="45" w:type="dxa"/>
              <w:bottom w:w="30" w:type="dxa"/>
              <w:right w:w="45" w:type="dxa"/>
            </w:tcMar>
            <w:vAlign w:val="center"/>
          </w:tcPr>
          <w:p w14:paraId="2DDFFBED" w14:textId="77777777"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38. Agricultural land change from 2008 to 2018 (log(1,000 ha/year))</w:t>
            </w:r>
          </w:p>
        </w:tc>
        <w:tc>
          <w:tcPr>
            <w:tcW w:w="1260" w:type="dxa"/>
            <w:vAlign w:val="center"/>
          </w:tcPr>
          <w:p w14:paraId="04D07F74" w14:textId="7851A2FB" w:rsidR="005517BD" w:rsidRPr="005517BD" w:rsidRDefault="005517BD" w:rsidP="001D7D2D">
            <w:pPr>
              <w:spacing w:line="240" w:lineRule="auto"/>
              <w:rPr>
                <w:rFonts w:ascii="Times New Roman" w:eastAsia="Calibri" w:hAnsi="Times New Roman" w:cs="Times New Roman"/>
                <w:color w:val="201F1E"/>
                <w:sz w:val="20"/>
                <w:szCs w:val="20"/>
                <w:highlight w:val="white"/>
              </w:rPr>
            </w:pPr>
            <w:r w:rsidRPr="005517BD">
              <w:rPr>
                <w:rFonts w:ascii="Times New Roman" w:eastAsia="Calibri" w:hAnsi="Times New Roman" w:cs="Times New Roman"/>
                <w:sz w:val="20"/>
                <w:szCs w:val="20"/>
              </w:rPr>
              <w:t xml:space="preserve"> FAOSTAT</w:t>
            </w:r>
            <w:r w:rsidR="006A67E3">
              <w:rPr>
                <w:rFonts w:ascii="Times New Roman" w:eastAsia="Calibri" w:hAnsi="Times New Roman" w:cs="Times New Roman"/>
                <w:sz w:val="20"/>
                <w:szCs w:val="20"/>
              </w:rPr>
              <w:t xml:space="preserve"> (48)</w:t>
            </w:r>
          </w:p>
        </w:tc>
        <w:tc>
          <w:tcPr>
            <w:tcW w:w="5220" w:type="dxa"/>
            <w:vAlign w:val="center"/>
          </w:tcPr>
          <w:p w14:paraId="4DB63C23" w14:textId="77777777"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No global cutoffs currently exist in the literature for agricultural land change. The absolute change was log-transformed to overcome the long tails of the normal distribution. Countries in these extreme ends signal a rapid abandon or expansion of agricultural land, hence potential linkages with land degradation or deforestation. Countries with “stable” agricultural land have ranged</w:t>
            </w:r>
          </w:p>
          <w:p w14:paraId="632DF0FD" w14:textId="77777777"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&gt;-1 &amp; &lt; 1 * 1000 hectares per year (log(abs(&lt;=0). Countries with an extremely dynamic agricultural land expand or contract &lt;-100 or &gt;100* 1000 hectares per year (log(abs(&gt;2).</w:t>
            </w:r>
          </w:p>
        </w:tc>
      </w:tr>
      <w:tr w:rsidR="005517BD" w:rsidRPr="005517BD" w14:paraId="5E06B7A8" w14:textId="77777777" w:rsidTr="001D7D2D">
        <w:trPr>
          <w:trHeight w:val="315"/>
        </w:trPr>
        <w:tc>
          <w:tcPr>
            <w:tcW w:w="1203" w:type="dxa"/>
            <w:vMerge/>
            <w:tcMar>
              <w:top w:w="30" w:type="dxa"/>
              <w:left w:w="45" w:type="dxa"/>
              <w:bottom w:w="30" w:type="dxa"/>
              <w:right w:w="45" w:type="dxa"/>
            </w:tcMar>
            <w:vAlign w:val="center"/>
          </w:tcPr>
          <w:p w14:paraId="64348037" w14:textId="77777777" w:rsidR="005517BD" w:rsidRPr="005517BD" w:rsidRDefault="005517BD" w:rsidP="001D7D2D">
            <w:pPr>
              <w:widowControl w:val="0"/>
              <w:rPr>
                <w:rFonts w:ascii="Times New Roman" w:eastAsia="Calibri" w:hAnsi="Times New Roman" w:cs="Times New Roman"/>
                <w:sz w:val="20"/>
                <w:szCs w:val="20"/>
              </w:rPr>
            </w:pPr>
          </w:p>
        </w:tc>
        <w:tc>
          <w:tcPr>
            <w:tcW w:w="990" w:type="dxa"/>
            <w:vMerge/>
            <w:tcMar>
              <w:top w:w="30" w:type="dxa"/>
              <w:left w:w="45" w:type="dxa"/>
              <w:bottom w:w="30" w:type="dxa"/>
              <w:right w:w="45" w:type="dxa"/>
            </w:tcMar>
            <w:vAlign w:val="center"/>
          </w:tcPr>
          <w:p w14:paraId="4D27A41B" w14:textId="77777777" w:rsidR="005517BD" w:rsidRPr="005517BD" w:rsidRDefault="005517BD" w:rsidP="001D7D2D">
            <w:pPr>
              <w:widowControl w:val="0"/>
              <w:rPr>
                <w:rFonts w:ascii="Times New Roman" w:eastAsia="Calibri" w:hAnsi="Times New Roman" w:cs="Times New Roman"/>
                <w:sz w:val="20"/>
                <w:szCs w:val="20"/>
              </w:rPr>
            </w:pPr>
          </w:p>
        </w:tc>
        <w:tc>
          <w:tcPr>
            <w:tcW w:w="1800" w:type="dxa"/>
            <w:tcMar>
              <w:top w:w="30" w:type="dxa"/>
              <w:left w:w="45" w:type="dxa"/>
              <w:bottom w:w="30" w:type="dxa"/>
              <w:right w:w="45" w:type="dxa"/>
            </w:tcMar>
            <w:vAlign w:val="center"/>
          </w:tcPr>
          <w:p w14:paraId="04CF8FC1" w14:textId="77777777" w:rsidR="005517BD" w:rsidRPr="005517BD" w:rsidRDefault="005517BD" w:rsidP="001D7D2D">
            <w:pPr>
              <w:spacing w:line="240" w:lineRule="auto"/>
              <w:rPr>
                <w:rFonts w:ascii="Times New Roman" w:eastAsia="Calibri" w:hAnsi="Times New Roman" w:cs="Times New Roman"/>
                <w:sz w:val="20"/>
                <w:szCs w:val="20"/>
                <w:highlight w:val="white"/>
              </w:rPr>
            </w:pPr>
            <w:r w:rsidRPr="005517BD">
              <w:rPr>
                <w:rFonts w:ascii="Times New Roman" w:eastAsia="Calibri" w:hAnsi="Times New Roman" w:cs="Times New Roman"/>
                <w:sz w:val="20"/>
                <w:szCs w:val="20"/>
                <w:highlight w:val="white"/>
              </w:rPr>
              <w:t>39. Average proportion of agricultural lands embedding at least 10% of natural vegetation (%)</w:t>
            </w:r>
          </w:p>
        </w:tc>
        <w:tc>
          <w:tcPr>
            <w:tcW w:w="1260" w:type="dxa"/>
            <w:vAlign w:val="center"/>
          </w:tcPr>
          <w:p w14:paraId="29CAA0D4" w14:textId="7CD410D6"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 xml:space="preserve">Jones et al., 2021 </w:t>
            </w:r>
            <w:r w:rsidRPr="005517BD">
              <w:rPr>
                <w:rFonts w:ascii="Times New Roman" w:eastAsia="Calibri" w:hAnsi="Times New Roman" w:cs="Times New Roman"/>
                <w:sz w:val="20"/>
                <w:szCs w:val="20"/>
              </w:rPr>
              <w:fldChar w:fldCharType="begin"/>
            </w:r>
            <w:r w:rsidRPr="005517BD">
              <w:rPr>
                <w:rFonts w:ascii="Times New Roman" w:eastAsia="Calibri" w:hAnsi="Times New Roman" w:cs="Times New Roman"/>
                <w:sz w:val="20"/>
                <w:szCs w:val="20"/>
              </w:rPr>
              <w:instrText xml:space="preserve"> ADDIN ZOTERO_ITEM CSL_CITATION {"citationID":"GHRenuj0","properties":{"formattedCitation":"(10)","plainCitation":"(10)","noteIndex":0},"citationItems":[{"id":4786,"uris":["http://zotero.org/users/1090512/items/4PQ5PM3J"],"itemData":{"id":4786,"type":"article-journal","container-title":"Nature Food","DOI":"10.1038/s43016-021-00344-3","ISSN":"2662-1355","issue":"9","journalAbbreviation":"Nat Food","language":"en","page":"712-723","source":"DOI.org (Crossref)","title":"Agrobiodiversity Index scores show agrobiodiversity is underutilized in national food systems","volume":"2","author":[{"family":"Jones","given":"Sarah K."},{"family":"Estrada-Carmona","given":"Natalia"},{"family":"Juventia","given":"Stella D."},{"family":"Dulloo","given":"M. Ehsan"},{"family":"Laporte","given":"Marie-Angelique"},{"family":"Villani","given":"Chiara"},{"family":"Remans","given":"Roseline"}],"issued":{"date-parts":[["2021",9]]}}}],"schema":"https://github.com/citation-style-language/schema/raw/master/csl-citation.json"} </w:instrText>
            </w:r>
            <w:r w:rsidRPr="005517BD">
              <w:rPr>
                <w:rFonts w:ascii="Times New Roman" w:eastAsia="Calibri" w:hAnsi="Times New Roman" w:cs="Times New Roman"/>
                <w:sz w:val="20"/>
                <w:szCs w:val="20"/>
              </w:rPr>
              <w:fldChar w:fldCharType="separate"/>
            </w:r>
            <w:r w:rsidRPr="005517BD">
              <w:rPr>
                <w:rFonts w:ascii="Times New Roman" w:eastAsia="Calibri" w:hAnsi="Times New Roman" w:cs="Times New Roman"/>
                <w:noProof/>
                <w:sz w:val="20"/>
                <w:szCs w:val="20"/>
              </w:rPr>
              <w:t>(</w:t>
            </w:r>
            <w:r w:rsidR="006A67E3">
              <w:rPr>
                <w:rFonts w:ascii="Times New Roman" w:eastAsia="Calibri" w:hAnsi="Times New Roman" w:cs="Times New Roman"/>
                <w:noProof/>
                <w:sz w:val="20"/>
                <w:szCs w:val="20"/>
              </w:rPr>
              <w:t>49</w:t>
            </w:r>
            <w:r w:rsidRPr="005517BD">
              <w:rPr>
                <w:rFonts w:ascii="Times New Roman" w:eastAsia="Calibri" w:hAnsi="Times New Roman" w:cs="Times New Roman"/>
                <w:noProof/>
                <w:sz w:val="20"/>
                <w:szCs w:val="20"/>
              </w:rPr>
              <w:t>)</w:t>
            </w:r>
            <w:r w:rsidRPr="005517BD">
              <w:rPr>
                <w:rFonts w:ascii="Times New Roman" w:eastAsia="Calibri" w:hAnsi="Times New Roman" w:cs="Times New Roman"/>
                <w:sz w:val="20"/>
                <w:szCs w:val="20"/>
              </w:rPr>
              <w:fldChar w:fldCharType="end"/>
            </w:r>
          </w:p>
        </w:tc>
        <w:tc>
          <w:tcPr>
            <w:tcW w:w="5220" w:type="dxa"/>
            <w:vAlign w:val="center"/>
          </w:tcPr>
          <w:p w14:paraId="5D88A3F4" w14:textId="392B18B4" w:rsidR="005517BD" w:rsidRPr="005517BD" w:rsidRDefault="005517BD" w:rsidP="001D7D2D">
            <w:pPr>
              <w:spacing w:line="240" w:lineRule="auto"/>
              <w:rPr>
                <w:rFonts w:ascii="Times New Roman" w:eastAsia="Calibri" w:hAnsi="Times New Roman" w:cs="Times New Roman"/>
                <w:sz w:val="20"/>
                <w:szCs w:val="20"/>
              </w:rPr>
            </w:pPr>
            <w:r w:rsidRPr="005517BD">
              <w:rPr>
                <w:rFonts w:ascii="Times New Roman" w:eastAsia="Calibri" w:hAnsi="Times New Roman" w:cs="Times New Roman"/>
                <w:sz w:val="20"/>
                <w:szCs w:val="20"/>
              </w:rPr>
              <w:t>According to DeClerck et al.</w:t>
            </w:r>
            <w:r w:rsidR="000C2590" w:rsidRPr="004D1AA2">
              <w:rPr>
                <w:rFonts w:ascii="Times New Roman" w:eastAsia="Calibri" w:hAnsi="Times New Roman" w:cs="Times New Roman"/>
                <w:sz w:val="20"/>
                <w:szCs w:val="20"/>
                <w:vertAlign w:val="superscript"/>
              </w:rPr>
              <w:t>4</w:t>
            </w:r>
            <w:r w:rsidRPr="005517BD">
              <w:rPr>
                <w:rFonts w:ascii="Times New Roman" w:eastAsia="Calibri" w:hAnsi="Times New Roman" w:cs="Times New Roman"/>
                <w:sz w:val="20"/>
                <w:szCs w:val="20"/>
              </w:rPr>
              <w:t>,</w:t>
            </w:r>
            <w:r w:rsidR="000C2590">
              <w:rPr>
                <w:rFonts w:ascii="Times New Roman" w:eastAsia="Calibri" w:hAnsi="Times New Roman" w:cs="Times New Roman"/>
                <w:sz w:val="20"/>
                <w:szCs w:val="20"/>
              </w:rPr>
              <w:t xml:space="preserve"> </w:t>
            </w:r>
            <w:r w:rsidRPr="005517BD">
              <w:rPr>
                <w:rFonts w:ascii="Times New Roman" w:eastAsia="Calibri" w:hAnsi="Times New Roman" w:cs="Times New Roman"/>
                <w:sz w:val="20"/>
                <w:szCs w:val="20"/>
              </w:rPr>
              <w:t>all agricultural lands should embed at least 10% of natural vegetation to guarantee ecosystem functioning. Countries with less than 25% of their agricultural land not embedding 10% of natural vegetation signifies a likely challenge area for the country’s food system.</w:t>
            </w:r>
          </w:p>
        </w:tc>
      </w:tr>
    </w:tbl>
    <w:p w14:paraId="20B21EA5" w14:textId="2F9EFE7E" w:rsidR="005404C1" w:rsidRPr="004D1AA2" w:rsidRDefault="005404C1" w:rsidP="005404C1">
      <w:pPr>
        <w:pStyle w:val="Bibliography"/>
        <w:rPr>
          <w:rFonts w:ascii="Times New Roman" w:hAnsi="Times New Roman" w:cs="Times New Roman"/>
          <w:sz w:val="16"/>
          <w:szCs w:val="16"/>
        </w:rPr>
      </w:pPr>
      <w:r w:rsidRPr="004D1AA2">
        <w:rPr>
          <w:rFonts w:ascii="Times New Roman" w:hAnsi="Times New Roman" w:cs="Times New Roman"/>
          <w:sz w:val="16"/>
          <w:szCs w:val="16"/>
          <w:vertAlign w:val="superscript"/>
        </w:rPr>
        <w:t>1</w:t>
      </w:r>
      <w:r w:rsidRPr="004D1AA2">
        <w:rPr>
          <w:rFonts w:ascii="Times New Roman" w:hAnsi="Times New Roman" w:cs="Times New Roman"/>
          <w:sz w:val="16"/>
          <w:szCs w:val="16"/>
        </w:rPr>
        <w:t xml:space="preserve"> </w:t>
      </w:r>
      <w:proofErr w:type="spellStart"/>
      <w:r w:rsidRPr="004D1AA2">
        <w:rPr>
          <w:rFonts w:ascii="Times New Roman" w:hAnsi="Times New Roman" w:cs="Times New Roman"/>
          <w:sz w:val="16"/>
          <w:szCs w:val="16"/>
        </w:rPr>
        <w:t>Sirami</w:t>
      </w:r>
      <w:proofErr w:type="spellEnd"/>
      <w:r w:rsidRPr="004D1AA2">
        <w:rPr>
          <w:rFonts w:ascii="Times New Roman" w:hAnsi="Times New Roman" w:cs="Times New Roman"/>
          <w:sz w:val="16"/>
          <w:szCs w:val="16"/>
        </w:rPr>
        <w:t xml:space="preserve"> C, Gross N, </w:t>
      </w:r>
      <w:proofErr w:type="spellStart"/>
      <w:r w:rsidRPr="004D1AA2">
        <w:rPr>
          <w:rFonts w:ascii="Times New Roman" w:hAnsi="Times New Roman" w:cs="Times New Roman"/>
          <w:sz w:val="16"/>
          <w:szCs w:val="16"/>
        </w:rPr>
        <w:t>Baillod</w:t>
      </w:r>
      <w:proofErr w:type="spellEnd"/>
      <w:r w:rsidRPr="004D1AA2">
        <w:rPr>
          <w:rFonts w:ascii="Times New Roman" w:hAnsi="Times New Roman" w:cs="Times New Roman"/>
          <w:sz w:val="16"/>
          <w:szCs w:val="16"/>
        </w:rPr>
        <w:t xml:space="preserve"> AB, Bertrand C, </w:t>
      </w:r>
      <w:proofErr w:type="spellStart"/>
      <w:r w:rsidRPr="004D1AA2">
        <w:rPr>
          <w:rFonts w:ascii="Times New Roman" w:hAnsi="Times New Roman" w:cs="Times New Roman"/>
          <w:sz w:val="16"/>
          <w:szCs w:val="16"/>
        </w:rPr>
        <w:t>Carrié</w:t>
      </w:r>
      <w:proofErr w:type="spellEnd"/>
      <w:r w:rsidRPr="004D1AA2">
        <w:rPr>
          <w:rFonts w:ascii="Times New Roman" w:hAnsi="Times New Roman" w:cs="Times New Roman"/>
          <w:sz w:val="16"/>
          <w:szCs w:val="16"/>
        </w:rPr>
        <w:t xml:space="preserve"> R, Hass A, et al. Increasing crop heterogeneity enhances multitrophic diversity across agricultural regions. Proc Natl Acad Sci. 2019 Aug 13;116(33):16442–7. </w:t>
      </w:r>
    </w:p>
    <w:p w14:paraId="0D1E1F71" w14:textId="142E2B04" w:rsidR="005404C1" w:rsidRPr="004D1AA2" w:rsidRDefault="005404C1" w:rsidP="005404C1">
      <w:pPr>
        <w:spacing w:line="240" w:lineRule="auto"/>
        <w:rPr>
          <w:rFonts w:ascii="Times New Roman" w:hAnsi="Times New Roman" w:cs="Times New Roman"/>
          <w:color w:val="333333"/>
          <w:sz w:val="16"/>
          <w:szCs w:val="16"/>
          <w:shd w:val="clear" w:color="auto" w:fill="FFFFFF"/>
        </w:rPr>
      </w:pPr>
      <w:r w:rsidRPr="004D1AA2">
        <w:rPr>
          <w:rFonts w:ascii="Times New Roman" w:hAnsi="Times New Roman" w:cs="Times New Roman"/>
          <w:sz w:val="16"/>
          <w:szCs w:val="16"/>
          <w:vertAlign w:val="superscript"/>
        </w:rPr>
        <w:t xml:space="preserve">2 </w:t>
      </w:r>
      <w:r w:rsidRPr="004D1AA2">
        <w:rPr>
          <w:rStyle w:val="article-title-and-info"/>
          <w:rFonts w:ascii="Times New Roman" w:hAnsi="Times New Roman" w:cs="Times New Roman"/>
          <w:color w:val="333333"/>
          <w:sz w:val="16"/>
          <w:szCs w:val="16"/>
          <w:shd w:val="clear" w:color="auto" w:fill="FFFFFF"/>
        </w:rPr>
        <w:t>Schneider K and Herforth A. Software tools for practical application of human nutrient requirements in food-based social science research [version 1; peer review: 1 approved with reservations, 1 not approved]</w:t>
      </w:r>
      <w:r w:rsidRPr="004D1AA2">
        <w:rPr>
          <w:rFonts w:ascii="Times New Roman" w:hAnsi="Times New Roman" w:cs="Times New Roman"/>
          <w:color w:val="333333"/>
          <w:sz w:val="16"/>
          <w:szCs w:val="16"/>
          <w:shd w:val="clear" w:color="auto" w:fill="FFFFFF"/>
        </w:rPr>
        <w:t>. </w:t>
      </w:r>
      <w:r w:rsidRPr="004D1AA2">
        <w:rPr>
          <w:rFonts w:ascii="Times New Roman" w:hAnsi="Times New Roman" w:cs="Times New Roman"/>
          <w:i/>
          <w:iCs/>
          <w:color w:val="333333"/>
          <w:sz w:val="16"/>
          <w:szCs w:val="16"/>
          <w:shd w:val="clear" w:color="auto" w:fill="FFFFFF"/>
        </w:rPr>
        <w:t>Gates Open Res</w:t>
      </w:r>
      <w:r w:rsidRPr="004D1AA2">
        <w:rPr>
          <w:rFonts w:ascii="Times New Roman" w:hAnsi="Times New Roman" w:cs="Times New Roman"/>
          <w:color w:val="333333"/>
          <w:sz w:val="16"/>
          <w:szCs w:val="16"/>
          <w:shd w:val="clear" w:color="auto" w:fill="FFFFFF"/>
        </w:rPr>
        <w:t> 2020, </w:t>
      </w:r>
      <w:r w:rsidRPr="004D1AA2">
        <w:rPr>
          <w:rFonts w:ascii="Times New Roman" w:hAnsi="Times New Roman" w:cs="Times New Roman"/>
          <w:b/>
          <w:bCs/>
          <w:color w:val="333333"/>
          <w:sz w:val="16"/>
          <w:szCs w:val="16"/>
          <w:shd w:val="clear" w:color="auto" w:fill="FFFFFF"/>
        </w:rPr>
        <w:t>4</w:t>
      </w:r>
      <w:r w:rsidRPr="004D1AA2">
        <w:rPr>
          <w:rFonts w:ascii="Times New Roman" w:hAnsi="Times New Roman" w:cs="Times New Roman"/>
          <w:color w:val="333333"/>
          <w:sz w:val="16"/>
          <w:szCs w:val="16"/>
          <w:shd w:val="clear" w:color="auto" w:fill="FFFFFF"/>
        </w:rPr>
        <w:t>:179 (</w:t>
      </w:r>
      <w:hyperlink r:id="rId4" w:tgtFrame="_blank" w:history="1">
        <w:r w:rsidRPr="004D1AA2">
          <w:rPr>
            <w:rStyle w:val="Hyperlink"/>
            <w:rFonts w:ascii="Times New Roman" w:hAnsi="Times New Roman" w:cs="Times New Roman"/>
            <w:color w:val="3086AB"/>
            <w:sz w:val="16"/>
            <w:szCs w:val="16"/>
            <w:shd w:val="clear" w:color="auto" w:fill="FFFFFF"/>
          </w:rPr>
          <w:t>https://doi.org/10.12688/gatesopenres.13207.1</w:t>
        </w:r>
      </w:hyperlink>
      <w:r w:rsidRPr="004D1AA2">
        <w:rPr>
          <w:rFonts w:ascii="Times New Roman" w:hAnsi="Times New Roman" w:cs="Times New Roman"/>
          <w:color w:val="333333"/>
          <w:sz w:val="16"/>
          <w:szCs w:val="16"/>
          <w:shd w:val="clear" w:color="auto" w:fill="FFFFFF"/>
        </w:rPr>
        <w:t>)</w:t>
      </w:r>
    </w:p>
    <w:p w14:paraId="4A34E928" w14:textId="5D76CABB" w:rsidR="005404C1" w:rsidRPr="000C2590" w:rsidRDefault="005404C1" w:rsidP="005404C1">
      <w:pPr>
        <w:spacing w:line="240" w:lineRule="auto"/>
        <w:rPr>
          <w:rFonts w:ascii="Times New Roman" w:hAnsi="Times New Roman" w:cs="Times New Roman"/>
          <w:sz w:val="16"/>
          <w:szCs w:val="16"/>
        </w:rPr>
      </w:pPr>
      <w:r w:rsidRPr="004D1AA2">
        <w:rPr>
          <w:rFonts w:ascii="Times New Roman" w:hAnsi="Times New Roman" w:cs="Times New Roman"/>
          <w:color w:val="333333"/>
          <w:sz w:val="16"/>
          <w:szCs w:val="16"/>
          <w:shd w:val="clear" w:color="auto" w:fill="FFFFFF"/>
          <w:vertAlign w:val="superscript"/>
        </w:rPr>
        <w:t>3</w:t>
      </w:r>
      <w:r w:rsidRPr="004D1AA2">
        <w:rPr>
          <w:rFonts w:ascii="Times New Roman" w:hAnsi="Times New Roman" w:cs="Times New Roman"/>
          <w:color w:val="333333"/>
          <w:sz w:val="16"/>
          <w:szCs w:val="16"/>
          <w:shd w:val="clear" w:color="auto" w:fill="FFFFFF"/>
        </w:rPr>
        <w:t xml:space="preserve"> </w:t>
      </w:r>
      <w:r w:rsidRPr="004D1AA2">
        <w:rPr>
          <w:rFonts w:ascii="Times New Roman" w:hAnsi="Times New Roman" w:cs="Times New Roman"/>
          <w:sz w:val="16"/>
          <w:szCs w:val="16"/>
        </w:rPr>
        <w:t>Atkinson G, Dietz S, Neumayer E, Agarwala M, editors. Handbook of sustainable development. Second edition. Cheltenham, UK: Edward Elgar; 2014. 590 p.</w:t>
      </w:r>
    </w:p>
    <w:p w14:paraId="22FBF2E9" w14:textId="3582F4CE" w:rsidR="000C2590" w:rsidRPr="004D1AA2" w:rsidRDefault="000C2590" w:rsidP="000C2590">
      <w:pPr>
        <w:spacing w:line="240" w:lineRule="auto"/>
        <w:rPr>
          <w:rFonts w:ascii="Times New Roman" w:eastAsia="Times New Roman" w:hAnsi="Times New Roman" w:cs="Times New Roman"/>
          <w:sz w:val="16"/>
          <w:szCs w:val="16"/>
          <w:lang w:val="en-US"/>
        </w:rPr>
      </w:pPr>
      <w:r w:rsidRPr="004D1AA2">
        <w:rPr>
          <w:rFonts w:ascii="Times New Roman" w:eastAsia="Times New Roman" w:hAnsi="Times New Roman" w:cs="Times New Roman"/>
          <w:sz w:val="16"/>
          <w:szCs w:val="16"/>
          <w:vertAlign w:val="superscript"/>
          <w:lang w:val="en-US"/>
        </w:rPr>
        <w:t>4</w:t>
      </w:r>
      <w:r w:rsidRPr="000C2590">
        <w:rPr>
          <w:rFonts w:ascii="Times New Roman" w:eastAsia="Times New Roman" w:hAnsi="Times New Roman" w:cs="Times New Roman"/>
          <w:sz w:val="16"/>
          <w:szCs w:val="16"/>
          <w:vertAlign w:val="superscript"/>
          <w:lang w:val="en-US"/>
        </w:rPr>
        <w:t xml:space="preserve"> </w:t>
      </w:r>
      <w:r w:rsidR="0086582B">
        <w:rPr>
          <w:rFonts w:ascii="Times New Roman" w:eastAsia="Times New Roman" w:hAnsi="Times New Roman" w:cs="Times New Roman"/>
          <w:sz w:val="16"/>
          <w:szCs w:val="16"/>
          <w:vertAlign w:val="superscript"/>
          <w:lang w:val="en-US"/>
        </w:rPr>
        <w:t xml:space="preserve"> </w:t>
      </w:r>
      <w:r w:rsidRPr="004D1AA2">
        <w:rPr>
          <w:rFonts w:ascii="Times New Roman" w:eastAsia="Times New Roman" w:hAnsi="Times New Roman" w:cs="Times New Roman"/>
          <w:color w:val="201F1E"/>
          <w:sz w:val="16"/>
          <w:szCs w:val="16"/>
          <w:bdr w:val="none" w:sz="0" w:space="0" w:color="auto" w:frame="1"/>
          <w:shd w:val="clear" w:color="auto" w:fill="FFFFFF"/>
          <w:lang w:val="en-US"/>
        </w:rPr>
        <w:t xml:space="preserve">Fabrice DeClerck, Sarah Jones, Natalia Estrada-Carmona, Alexander </w:t>
      </w:r>
      <w:proofErr w:type="spellStart"/>
      <w:r w:rsidRPr="004D1AA2">
        <w:rPr>
          <w:rFonts w:ascii="Times New Roman" w:eastAsia="Times New Roman" w:hAnsi="Times New Roman" w:cs="Times New Roman"/>
          <w:color w:val="201F1E"/>
          <w:sz w:val="16"/>
          <w:szCs w:val="16"/>
          <w:bdr w:val="none" w:sz="0" w:space="0" w:color="auto" w:frame="1"/>
          <w:shd w:val="clear" w:color="auto" w:fill="FFFFFF"/>
          <w:lang w:val="en-US"/>
        </w:rPr>
        <w:t>Fremier</w:t>
      </w:r>
      <w:proofErr w:type="spellEnd"/>
      <w:r w:rsidRPr="004D1AA2">
        <w:rPr>
          <w:rFonts w:ascii="Times New Roman" w:eastAsia="Times New Roman" w:hAnsi="Times New Roman" w:cs="Times New Roman"/>
          <w:color w:val="201F1E"/>
          <w:sz w:val="16"/>
          <w:szCs w:val="16"/>
          <w:bdr w:val="none" w:sz="0" w:space="0" w:color="auto" w:frame="1"/>
          <w:shd w:val="clear" w:color="auto" w:fill="FFFFFF"/>
          <w:lang w:val="it-CH"/>
        </w:rPr>
        <w:t>. </w:t>
      </w:r>
      <w:r w:rsidRPr="004D1AA2">
        <w:rPr>
          <w:rFonts w:ascii="Times New Roman" w:eastAsia="Times New Roman" w:hAnsi="Times New Roman" w:cs="Times New Roman"/>
          <w:color w:val="201F1E"/>
          <w:sz w:val="16"/>
          <w:szCs w:val="16"/>
          <w:bdr w:val="none" w:sz="0" w:space="0" w:color="auto" w:frame="1"/>
          <w:shd w:val="clear" w:color="auto" w:fill="FFFFFF"/>
          <w:lang w:val="en-US"/>
        </w:rPr>
        <w:t>Spare half, share the rest: A revised planetary boundary for biodiversity intactness and integrity. Biological Sciences</w:t>
      </w:r>
      <w:r w:rsidRPr="004D1AA2">
        <w:rPr>
          <w:rFonts w:ascii="Times New Roman" w:eastAsia="Times New Roman" w:hAnsi="Times New Roman" w:cs="Times New Roman"/>
          <w:color w:val="201F1E"/>
          <w:sz w:val="16"/>
          <w:szCs w:val="16"/>
          <w:bdr w:val="none" w:sz="0" w:space="0" w:color="auto" w:frame="1"/>
          <w:shd w:val="clear" w:color="auto" w:fill="FFFFFF"/>
          <w:lang w:val="fr-CH"/>
        </w:rPr>
        <w:t>. </w:t>
      </w:r>
      <w:proofErr w:type="spellStart"/>
      <w:r w:rsidRPr="004D1AA2">
        <w:rPr>
          <w:rFonts w:ascii="Times New Roman" w:eastAsia="Times New Roman" w:hAnsi="Times New Roman" w:cs="Times New Roman"/>
          <w:color w:val="201F1E"/>
          <w:sz w:val="16"/>
          <w:szCs w:val="16"/>
          <w:bdr w:val="none" w:sz="0" w:space="0" w:color="auto" w:frame="1"/>
          <w:shd w:val="clear" w:color="auto" w:fill="FFFFFF"/>
          <w:lang w:val="en-US"/>
        </w:rPr>
        <w:t>Ar</w:t>
      </w:r>
      <w:r w:rsidRPr="004D1AA2">
        <w:rPr>
          <w:rFonts w:ascii="Times New Roman" w:eastAsia="Times New Roman" w:hAnsi="Times New Roman" w:cs="Times New Roman"/>
          <w:color w:val="201F1E"/>
          <w:sz w:val="16"/>
          <w:szCs w:val="16"/>
          <w:bdr w:val="none" w:sz="0" w:space="0" w:color="auto" w:frame="1"/>
          <w:shd w:val="clear" w:color="auto" w:fill="FFFFFF"/>
          <w:lang w:val="fr-CH"/>
        </w:rPr>
        <w:t>ticle</w:t>
      </w:r>
      <w:proofErr w:type="spellEnd"/>
      <w:r w:rsidRPr="004D1AA2">
        <w:rPr>
          <w:rFonts w:ascii="Times New Roman" w:eastAsia="Times New Roman" w:hAnsi="Times New Roman" w:cs="Times New Roman"/>
          <w:color w:val="201F1E"/>
          <w:sz w:val="16"/>
          <w:szCs w:val="16"/>
          <w:bdr w:val="none" w:sz="0" w:space="0" w:color="auto" w:frame="1"/>
          <w:shd w:val="clear" w:color="auto" w:fill="FFFFFF"/>
          <w:lang w:val="fr-CH"/>
        </w:rPr>
        <w:t xml:space="preserve"> </w:t>
      </w:r>
      <w:proofErr w:type="spellStart"/>
      <w:r w:rsidRPr="004D1AA2">
        <w:rPr>
          <w:rFonts w:ascii="Times New Roman" w:eastAsia="Times New Roman" w:hAnsi="Times New Roman" w:cs="Times New Roman"/>
          <w:color w:val="201F1E"/>
          <w:sz w:val="16"/>
          <w:szCs w:val="16"/>
          <w:bdr w:val="none" w:sz="0" w:space="0" w:color="auto" w:frame="1"/>
          <w:shd w:val="clear" w:color="auto" w:fill="FFFFFF"/>
          <w:lang w:val="fr-CH"/>
        </w:rPr>
        <w:t>pre-print</w:t>
      </w:r>
      <w:proofErr w:type="spellEnd"/>
      <w:r w:rsidRPr="004D1AA2">
        <w:rPr>
          <w:rFonts w:ascii="Times New Roman" w:eastAsia="Times New Roman" w:hAnsi="Times New Roman" w:cs="Times New Roman"/>
          <w:color w:val="201F1E"/>
          <w:sz w:val="16"/>
          <w:szCs w:val="16"/>
          <w:bdr w:val="none" w:sz="0" w:space="0" w:color="auto" w:frame="1"/>
          <w:shd w:val="clear" w:color="auto" w:fill="FFFFFF"/>
          <w:lang w:val="fr-CH"/>
        </w:rPr>
        <w:t xml:space="preserve"> 2021</w:t>
      </w:r>
    </w:p>
    <w:p w14:paraId="314C3F60" w14:textId="36A2A139" w:rsidR="000C2590" w:rsidRPr="004D1AA2" w:rsidRDefault="000C2590" w:rsidP="005404C1">
      <w:pPr>
        <w:spacing w:line="240" w:lineRule="auto"/>
        <w:rPr>
          <w:rFonts w:ascii="Times New Roman" w:eastAsia="Times New Roman" w:hAnsi="Times New Roman" w:cs="Times New Roman"/>
          <w:sz w:val="16"/>
          <w:szCs w:val="16"/>
          <w:lang w:val="en-US"/>
        </w:rPr>
      </w:pPr>
    </w:p>
    <w:p w14:paraId="0195E299" w14:textId="57A8EB25" w:rsidR="005404C1" w:rsidRPr="004D1AA2" w:rsidRDefault="005404C1" w:rsidP="004D1AA2"/>
    <w:p w14:paraId="51DF4AC5" w14:textId="6C4E6672" w:rsidR="00245004" w:rsidRPr="005404C1" w:rsidRDefault="00E353BE">
      <w:pPr>
        <w:rPr>
          <w:rFonts w:ascii="Times New Roman" w:hAnsi="Times New Roman" w:cs="Times New Roman"/>
        </w:rPr>
      </w:pPr>
    </w:p>
    <w:sectPr w:rsidR="00245004" w:rsidRPr="005404C1" w:rsidSect="00DE2F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7BD"/>
    <w:rsid w:val="00014674"/>
    <w:rsid w:val="000C2590"/>
    <w:rsid w:val="004A1E52"/>
    <w:rsid w:val="004D1AA2"/>
    <w:rsid w:val="005404C1"/>
    <w:rsid w:val="005517BD"/>
    <w:rsid w:val="006872D6"/>
    <w:rsid w:val="006A67E3"/>
    <w:rsid w:val="0086582B"/>
    <w:rsid w:val="008E62E6"/>
    <w:rsid w:val="008E77CB"/>
    <w:rsid w:val="00D26803"/>
    <w:rsid w:val="00DE2F9F"/>
    <w:rsid w:val="00E167B6"/>
    <w:rsid w:val="00EF109D"/>
    <w:rsid w:val="00FB3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BBBEC"/>
  <w15:chartTrackingRefBased/>
  <w15:docId w15:val="{485B4287-68F4-734E-86CB-2D3419F1E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7BD"/>
    <w:pPr>
      <w:spacing w:line="276" w:lineRule="auto"/>
    </w:pPr>
    <w:rPr>
      <w:rFonts w:ascii="Arial" w:eastAsia="Arial" w:hAnsi="Arial" w:cs="Arial"/>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E167B6"/>
    <w:rPr>
      <w:rFonts w:ascii="Arial" w:eastAsia="Arial" w:hAnsi="Arial" w:cs="Arial"/>
      <w:sz w:val="22"/>
      <w:szCs w:val="22"/>
      <w:lang w:val="en"/>
    </w:rPr>
  </w:style>
  <w:style w:type="character" w:styleId="CommentReference">
    <w:name w:val="annotation reference"/>
    <w:basedOn w:val="DefaultParagraphFont"/>
    <w:uiPriority w:val="99"/>
    <w:semiHidden/>
    <w:unhideWhenUsed/>
    <w:rsid w:val="006A67E3"/>
    <w:rPr>
      <w:sz w:val="16"/>
      <w:szCs w:val="16"/>
    </w:rPr>
  </w:style>
  <w:style w:type="paragraph" w:styleId="CommentText">
    <w:name w:val="annotation text"/>
    <w:basedOn w:val="Normal"/>
    <w:link w:val="CommentTextChar"/>
    <w:uiPriority w:val="99"/>
    <w:semiHidden/>
    <w:unhideWhenUsed/>
    <w:rsid w:val="006A67E3"/>
    <w:pPr>
      <w:spacing w:line="240" w:lineRule="auto"/>
    </w:pPr>
    <w:rPr>
      <w:sz w:val="20"/>
      <w:szCs w:val="20"/>
    </w:rPr>
  </w:style>
  <w:style w:type="character" w:customStyle="1" w:styleId="CommentTextChar">
    <w:name w:val="Comment Text Char"/>
    <w:basedOn w:val="DefaultParagraphFont"/>
    <w:link w:val="CommentText"/>
    <w:uiPriority w:val="99"/>
    <w:semiHidden/>
    <w:rsid w:val="006A67E3"/>
    <w:rPr>
      <w:rFonts w:ascii="Arial" w:eastAsia="Arial" w:hAnsi="Arial" w:cs="Arial"/>
      <w:sz w:val="20"/>
      <w:szCs w:val="20"/>
      <w:lang w:val="en"/>
    </w:rPr>
  </w:style>
  <w:style w:type="paragraph" w:styleId="CommentSubject">
    <w:name w:val="annotation subject"/>
    <w:basedOn w:val="CommentText"/>
    <w:next w:val="CommentText"/>
    <w:link w:val="CommentSubjectChar"/>
    <w:uiPriority w:val="99"/>
    <w:semiHidden/>
    <w:unhideWhenUsed/>
    <w:rsid w:val="006A67E3"/>
    <w:rPr>
      <w:b/>
      <w:bCs/>
    </w:rPr>
  </w:style>
  <w:style w:type="character" w:customStyle="1" w:styleId="CommentSubjectChar">
    <w:name w:val="Comment Subject Char"/>
    <w:basedOn w:val="CommentTextChar"/>
    <w:link w:val="CommentSubject"/>
    <w:uiPriority w:val="99"/>
    <w:semiHidden/>
    <w:rsid w:val="006A67E3"/>
    <w:rPr>
      <w:rFonts w:ascii="Arial" w:eastAsia="Arial" w:hAnsi="Arial" w:cs="Arial"/>
      <w:b/>
      <w:bCs/>
      <w:sz w:val="20"/>
      <w:szCs w:val="20"/>
      <w:lang w:val="en"/>
    </w:rPr>
  </w:style>
  <w:style w:type="character" w:styleId="Hyperlink">
    <w:name w:val="Hyperlink"/>
    <w:basedOn w:val="DefaultParagraphFont"/>
    <w:uiPriority w:val="99"/>
    <w:unhideWhenUsed/>
    <w:rsid w:val="004A1E52"/>
    <w:rPr>
      <w:color w:val="0563C1" w:themeColor="hyperlink"/>
      <w:u w:val="single"/>
    </w:rPr>
  </w:style>
  <w:style w:type="paragraph" w:styleId="Bibliography">
    <w:name w:val="Bibliography"/>
    <w:basedOn w:val="Normal"/>
    <w:next w:val="Normal"/>
    <w:uiPriority w:val="37"/>
    <w:semiHidden/>
    <w:unhideWhenUsed/>
    <w:rsid w:val="005404C1"/>
  </w:style>
  <w:style w:type="character" w:customStyle="1" w:styleId="article-title-and-info">
    <w:name w:val="article-title-and-info"/>
    <w:basedOn w:val="DefaultParagraphFont"/>
    <w:rsid w:val="005404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4671922">
      <w:bodyDiv w:val="1"/>
      <w:marLeft w:val="0"/>
      <w:marRight w:val="0"/>
      <w:marTop w:val="0"/>
      <w:marBottom w:val="0"/>
      <w:divBdr>
        <w:top w:val="none" w:sz="0" w:space="0" w:color="auto"/>
        <w:left w:val="none" w:sz="0" w:space="0" w:color="auto"/>
        <w:bottom w:val="none" w:sz="0" w:space="0" w:color="auto"/>
        <w:right w:val="none" w:sz="0" w:space="0" w:color="auto"/>
      </w:divBdr>
    </w:div>
    <w:div w:id="1815875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i.org/10.12688/gatesopenres.1320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3445</Words>
  <Characters>19642</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McLaren</dc:creator>
  <cp:keywords/>
  <dc:description/>
  <cp:lastModifiedBy>chn off32</cp:lastModifiedBy>
  <cp:revision>6</cp:revision>
  <dcterms:created xsi:type="dcterms:W3CDTF">2022-06-27T00:39:00Z</dcterms:created>
  <dcterms:modified xsi:type="dcterms:W3CDTF">2022-07-22T12:18:00Z</dcterms:modified>
</cp:coreProperties>
</file>